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9F51D" w14:textId="7B125632" w:rsidR="00B4309F" w:rsidRPr="00B1729E" w:rsidRDefault="00B4309F" w:rsidP="00B4309F">
      <w:pPr>
        <w:pStyle w:val="CRCoverPage"/>
        <w:tabs>
          <w:tab w:val="left" w:pos="1980"/>
        </w:tabs>
        <w:spacing w:after="0"/>
        <w:jc w:val="both"/>
        <w:rPr>
          <w:rFonts w:ascii="Times New Roman" w:eastAsia="SimSun" w:hAnsi="Times New Roman"/>
          <w:b/>
          <w:sz w:val="24"/>
          <w:lang w:val="en-US" w:eastAsia="zh-CN"/>
        </w:rPr>
      </w:pPr>
      <w:bookmarkStart w:id="0" w:name="_Ref534908260"/>
      <w:r w:rsidRPr="00B1729E">
        <w:rPr>
          <w:rFonts w:ascii="Times New Roman" w:eastAsia="SimSun" w:hAnsi="Times New Roman"/>
          <w:b/>
          <w:sz w:val="24"/>
          <w:lang w:val="en-US" w:eastAsia="zh-CN"/>
        </w:rPr>
        <w:t>3GPP TSG RAN WG1 #9</w:t>
      </w:r>
      <w:r w:rsidR="00FB1B2D">
        <w:rPr>
          <w:rFonts w:ascii="Times New Roman" w:eastAsia="SimSun" w:hAnsi="Times New Roman"/>
          <w:b/>
          <w:sz w:val="24"/>
          <w:lang w:val="en-US" w:eastAsia="zh-CN"/>
        </w:rPr>
        <w:t>9</w:t>
      </w:r>
      <w:r w:rsidR="00FB1B2D">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t xml:space="preserve">    </w:t>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Pr>
          <w:rFonts w:ascii="Times New Roman" w:eastAsia="SimSun" w:hAnsi="Times New Roman"/>
          <w:b/>
          <w:sz w:val="24"/>
          <w:lang w:val="en-US" w:eastAsia="zh-CN"/>
        </w:rPr>
        <w:tab/>
      </w:r>
      <w:r w:rsidRPr="00B1729E">
        <w:rPr>
          <w:rFonts w:ascii="Times New Roman" w:eastAsia="SimSun" w:hAnsi="Times New Roman"/>
          <w:b/>
          <w:sz w:val="24"/>
          <w:lang w:val="en-US" w:eastAsia="zh-CN"/>
        </w:rPr>
        <w:tab/>
      </w:r>
      <w:r w:rsidRPr="000424BA">
        <w:rPr>
          <w:rFonts w:ascii="Times New Roman" w:eastAsia="SimSun" w:hAnsi="Times New Roman"/>
          <w:b/>
          <w:sz w:val="24"/>
          <w:lang w:val="en-US" w:eastAsia="zh-CN"/>
        </w:rPr>
        <w:t>R1-</w:t>
      </w:r>
      <w:r w:rsidR="00436466">
        <w:rPr>
          <w:rFonts w:ascii="Times New Roman" w:eastAsia="SimSun" w:hAnsi="Times New Roman"/>
          <w:b/>
          <w:sz w:val="24"/>
          <w:lang w:val="en-US" w:eastAsia="zh-CN"/>
        </w:rPr>
        <w:t>1912695</w:t>
      </w:r>
    </w:p>
    <w:p w14:paraId="240D0140" w14:textId="2E52110D" w:rsidR="00B4309F" w:rsidRPr="00B1729E" w:rsidRDefault="00C53A37" w:rsidP="00B4309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Reno, U.S.A., Nov 1</w:t>
      </w:r>
      <w:r w:rsidR="00DA6BEA">
        <w:rPr>
          <w:rFonts w:ascii="Times New Roman" w:eastAsia="SimSun" w:hAnsi="Times New Roman"/>
          <w:b/>
          <w:sz w:val="24"/>
          <w:lang w:val="en-US" w:eastAsia="zh-CN"/>
        </w:rPr>
        <w:t>8</w:t>
      </w:r>
      <w:bookmarkStart w:id="1" w:name="_GoBack"/>
      <w:bookmarkEnd w:id="1"/>
      <w:r w:rsidRPr="00C53A37">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22</w:t>
      </w:r>
      <w:r w:rsidRPr="00C53A37">
        <w:rPr>
          <w:rFonts w:ascii="Times New Roman" w:eastAsia="SimSun" w:hAnsi="Times New Roman"/>
          <w:b/>
          <w:sz w:val="24"/>
          <w:vertAlign w:val="superscript"/>
          <w:lang w:val="en-US" w:eastAsia="zh-CN"/>
        </w:rPr>
        <w:t>nd</w:t>
      </w:r>
      <w:r>
        <w:rPr>
          <w:rFonts w:ascii="Times New Roman" w:eastAsia="SimSun" w:hAnsi="Times New Roman"/>
          <w:b/>
          <w:sz w:val="24"/>
          <w:lang w:val="en-US" w:eastAsia="zh-CN"/>
        </w:rPr>
        <w:t>,</w:t>
      </w:r>
      <w:r w:rsidR="00B4309F">
        <w:rPr>
          <w:rFonts w:ascii="Times New Roman" w:eastAsia="SimSun" w:hAnsi="Times New Roman"/>
          <w:b/>
          <w:sz w:val="24"/>
          <w:lang w:val="en-US" w:eastAsia="zh-CN"/>
        </w:rPr>
        <w:t xml:space="preserve"> 2019</w:t>
      </w:r>
    </w:p>
    <w:p w14:paraId="7EEC8735" w14:textId="77777777" w:rsidR="00B92445" w:rsidRPr="00B1729E" w:rsidRDefault="00B92445" w:rsidP="00B1729E">
      <w:pPr>
        <w:pStyle w:val="CRCoverPage"/>
        <w:tabs>
          <w:tab w:val="left" w:pos="1980"/>
        </w:tabs>
        <w:spacing w:after="0"/>
        <w:jc w:val="both"/>
        <w:rPr>
          <w:rFonts w:ascii="Times New Roman" w:hAnsi="Times New Roman"/>
          <w:b/>
          <w:bCs/>
          <w:sz w:val="24"/>
          <w:lang w:val="en-US"/>
        </w:rPr>
      </w:pPr>
    </w:p>
    <w:p w14:paraId="760D98A7" w14:textId="0A2E0624"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Agenda Item:</w:t>
      </w:r>
      <w:r w:rsidRPr="00B1729E">
        <w:rPr>
          <w:rFonts w:ascii="Times New Roman" w:hAnsi="Times New Roman"/>
          <w:b/>
          <w:bCs/>
          <w:sz w:val="24"/>
          <w:lang w:val="en-US"/>
        </w:rPr>
        <w:tab/>
        <w:t>7.2.2.</w:t>
      </w:r>
      <w:r w:rsidR="008A2BBE" w:rsidRPr="00B1729E">
        <w:rPr>
          <w:rFonts w:ascii="Times New Roman" w:hAnsi="Times New Roman"/>
          <w:b/>
          <w:bCs/>
          <w:sz w:val="24"/>
          <w:lang w:val="en-US"/>
        </w:rPr>
        <w:t>1.2</w:t>
      </w:r>
    </w:p>
    <w:p w14:paraId="02A63429" w14:textId="77777777"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Source:</w:t>
      </w:r>
      <w:r w:rsidRPr="00B1729E">
        <w:rPr>
          <w:rFonts w:ascii="Times New Roman" w:hAnsi="Times New Roman"/>
          <w:b/>
          <w:bCs/>
          <w:sz w:val="24"/>
          <w:lang w:val="en-US"/>
        </w:rPr>
        <w:tab/>
        <w:t>InterDigital, Inc.</w:t>
      </w:r>
    </w:p>
    <w:p w14:paraId="3D2BB52D" w14:textId="4D88FAFF"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Title:</w:t>
      </w:r>
      <w:r w:rsidRPr="00B1729E">
        <w:rPr>
          <w:rFonts w:ascii="Times New Roman" w:hAnsi="Times New Roman"/>
          <w:b/>
          <w:bCs/>
          <w:sz w:val="24"/>
          <w:lang w:val="en-US"/>
        </w:rPr>
        <w:tab/>
      </w:r>
      <w:r w:rsidR="008A2BBE" w:rsidRPr="00B1729E">
        <w:rPr>
          <w:rFonts w:ascii="Times New Roman" w:hAnsi="Times New Roman"/>
          <w:b/>
          <w:bCs/>
          <w:sz w:val="24"/>
          <w:lang w:val="en-US"/>
        </w:rPr>
        <w:t xml:space="preserve">DL signals and channels for </w:t>
      </w:r>
      <w:r w:rsidR="00D16559">
        <w:rPr>
          <w:rFonts w:ascii="Times New Roman" w:hAnsi="Times New Roman"/>
          <w:b/>
          <w:bCs/>
          <w:sz w:val="24"/>
          <w:lang w:val="en-US"/>
        </w:rPr>
        <w:t>NR-U</w:t>
      </w:r>
    </w:p>
    <w:p w14:paraId="50D2669A" w14:textId="77777777" w:rsidR="00086EBA" w:rsidRPr="00B1729E" w:rsidRDefault="00086EBA" w:rsidP="00B1729E">
      <w:pPr>
        <w:pStyle w:val="CRCoverPage"/>
        <w:tabs>
          <w:tab w:val="left" w:pos="1980"/>
        </w:tabs>
        <w:spacing w:after="0"/>
        <w:jc w:val="both"/>
        <w:rPr>
          <w:rFonts w:ascii="Times New Roman" w:hAnsi="Times New Roman"/>
          <w:b/>
          <w:bCs/>
          <w:sz w:val="24"/>
          <w:lang w:val="en-US"/>
        </w:rPr>
      </w:pPr>
      <w:r w:rsidRPr="00B1729E">
        <w:rPr>
          <w:rFonts w:ascii="Times New Roman" w:hAnsi="Times New Roman"/>
          <w:b/>
          <w:bCs/>
          <w:sz w:val="24"/>
          <w:lang w:val="en-US"/>
        </w:rPr>
        <w:t>Document for:</w:t>
      </w:r>
      <w:r w:rsidRPr="00B1729E">
        <w:rPr>
          <w:rFonts w:ascii="Times New Roman" w:hAnsi="Times New Roman"/>
          <w:b/>
          <w:bCs/>
          <w:sz w:val="24"/>
          <w:lang w:val="en-US"/>
        </w:rPr>
        <w:tab/>
        <w:t>Discussion, Decision</w:t>
      </w:r>
    </w:p>
    <w:p w14:paraId="45A92109" w14:textId="77777777" w:rsidR="00261A3A" w:rsidRPr="00B1729E" w:rsidRDefault="00A35469" w:rsidP="00B1729E">
      <w:pPr>
        <w:pStyle w:val="Heading1"/>
        <w:jc w:val="both"/>
        <w:rPr>
          <w:rFonts w:ascii="Times New Roman" w:hAnsi="Times New Roman"/>
          <w:b/>
          <w:sz w:val="32"/>
          <w:szCs w:val="32"/>
        </w:rPr>
      </w:pPr>
      <w:r w:rsidRPr="00B1729E">
        <w:rPr>
          <w:rFonts w:ascii="Times New Roman" w:hAnsi="Times New Roman"/>
          <w:b/>
          <w:sz w:val="32"/>
          <w:szCs w:val="32"/>
        </w:rPr>
        <w:t>Introduction</w:t>
      </w:r>
      <w:bookmarkEnd w:id="0"/>
    </w:p>
    <w:p w14:paraId="69E8E0C1" w14:textId="7947F800" w:rsidR="007A1C92" w:rsidRDefault="007A1C92" w:rsidP="007A1C92">
      <w:pPr>
        <w:jc w:val="both"/>
        <w:rPr>
          <w:rFonts w:ascii="Times New Roman" w:hAnsi="Times New Roman" w:cs="Times New Roman"/>
        </w:rPr>
      </w:pPr>
      <w:r>
        <w:rPr>
          <w:rFonts w:ascii="Times New Roman" w:hAnsi="Times New Roman" w:cs="Times New Roman"/>
        </w:rPr>
        <w:t xml:space="preserve">During RAN#84, guidance on essential functionality for NR-U was presented and approved </w:t>
      </w:r>
      <w:r w:rsidR="00D45F68">
        <w:rPr>
          <w:rFonts w:ascii="Times New Roman" w:hAnsi="Times New Roman" w:cs="Times New Roman"/>
        </w:rPr>
        <w:fldChar w:fldCharType="begin"/>
      </w:r>
      <w:r w:rsidR="00D45F68">
        <w:rPr>
          <w:rFonts w:ascii="Times New Roman" w:hAnsi="Times New Roman" w:cs="Times New Roman"/>
        </w:rPr>
        <w:instrText xml:space="preserve"> REF _Ref16686956 \r \h </w:instrText>
      </w:r>
      <w:r w:rsidR="00D45F68">
        <w:rPr>
          <w:rFonts w:ascii="Times New Roman" w:hAnsi="Times New Roman" w:cs="Times New Roman"/>
        </w:rPr>
      </w:r>
      <w:r w:rsidR="00D45F68">
        <w:rPr>
          <w:rFonts w:ascii="Times New Roman" w:hAnsi="Times New Roman" w:cs="Times New Roman"/>
        </w:rPr>
        <w:fldChar w:fldCharType="separate"/>
      </w:r>
      <w:r w:rsidR="00D45F68">
        <w:rPr>
          <w:rFonts w:ascii="Times New Roman" w:hAnsi="Times New Roman" w:cs="Times New Roman"/>
        </w:rPr>
        <w:t>[1]</w:t>
      </w:r>
      <w:r w:rsidR="00D45F68">
        <w:rPr>
          <w:rFonts w:ascii="Times New Roman" w:hAnsi="Times New Roman" w:cs="Times New Roman"/>
        </w:rPr>
        <w:fldChar w:fldCharType="end"/>
      </w:r>
      <w:r>
        <w:rPr>
          <w:rFonts w:ascii="Times New Roman" w:hAnsi="Times New Roman" w:cs="Times New Roman"/>
        </w:rPr>
        <w:t>. Among the essential functionalities of DL signals and channels that need to be finalized, the following is included:</w:t>
      </w:r>
    </w:p>
    <w:p w14:paraId="1465F755" w14:textId="53EEE737" w:rsidR="007A1C92" w:rsidRDefault="007A1C92" w:rsidP="00F75FB6">
      <w:pPr>
        <w:pStyle w:val="ListParagraph"/>
        <w:numPr>
          <w:ilvl w:val="0"/>
          <w:numId w:val="16"/>
        </w:numPr>
        <w:jc w:val="both"/>
        <w:rPr>
          <w:rFonts w:ascii="Times New Roman" w:hAnsi="Times New Roman" w:cs="Times New Roman"/>
        </w:rPr>
      </w:pPr>
      <w:r>
        <w:rPr>
          <w:rFonts w:ascii="Times New Roman" w:hAnsi="Times New Roman" w:cs="Times New Roman"/>
        </w:rPr>
        <w:t>Channel occupancy time and frequency domain structure indication for LBE</w:t>
      </w:r>
    </w:p>
    <w:p w14:paraId="0F290E70" w14:textId="562E75D7" w:rsidR="007A1C92" w:rsidRDefault="007A1C92" w:rsidP="00F75FB6">
      <w:pPr>
        <w:pStyle w:val="ListParagraph"/>
        <w:numPr>
          <w:ilvl w:val="0"/>
          <w:numId w:val="16"/>
        </w:numPr>
        <w:jc w:val="both"/>
        <w:rPr>
          <w:rFonts w:ascii="Times New Roman" w:hAnsi="Times New Roman" w:cs="Times New Roman"/>
        </w:rPr>
      </w:pPr>
      <w:r>
        <w:rPr>
          <w:rFonts w:ascii="Times New Roman" w:hAnsi="Times New Roman" w:cs="Times New Roman"/>
        </w:rPr>
        <w:t>Behavior when P/SP-CSI-RS fail to transmit due to LBT</w:t>
      </w:r>
    </w:p>
    <w:p w14:paraId="4F6B8E00" w14:textId="4C65C7E3" w:rsidR="007A1C92" w:rsidRDefault="007A1C92" w:rsidP="007A1C92">
      <w:pPr>
        <w:jc w:val="both"/>
        <w:rPr>
          <w:rFonts w:ascii="Times New Roman" w:hAnsi="Times New Roman" w:cs="Times New Roman"/>
        </w:rPr>
      </w:pPr>
    </w:p>
    <w:p w14:paraId="6F08D3F6" w14:textId="260744F4" w:rsidR="00086EBA" w:rsidRPr="00B1729E" w:rsidRDefault="00760232" w:rsidP="00B1729E">
      <w:pPr>
        <w:jc w:val="both"/>
        <w:rPr>
          <w:rFonts w:ascii="Times New Roman" w:hAnsi="Times New Roman" w:cs="Times New Roman"/>
        </w:rPr>
      </w:pPr>
      <w:r>
        <w:rPr>
          <w:rFonts w:ascii="Times New Roman" w:hAnsi="Times New Roman" w:cs="Times New Roman"/>
        </w:rPr>
        <w:t>W</w:t>
      </w:r>
      <w:r w:rsidR="007A1C92">
        <w:rPr>
          <w:rFonts w:ascii="Times New Roman" w:hAnsi="Times New Roman" w:cs="Times New Roman"/>
        </w:rPr>
        <w:t xml:space="preserve">ith respect to PDCCH monitoring </w:t>
      </w:r>
      <w:r w:rsidR="00415598">
        <w:rPr>
          <w:rFonts w:ascii="Times New Roman" w:hAnsi="Times New Roman" w:cs="Times New Roman"/>
        </w:rPr>
        <w:t>and COT structure indication</w:t>
      </w:r>
      <w:r w:rsidR="007A1C92">
        <w:rPr>
          <w:rFonts w:ascii="Times New Roman" w:hAnsi="Times New Roman" w:cs="Times New Roman"/>
        </w:rPr>
        <w:t xml:space="preserve">, </w:t>
      </w:r>
      <w:r w:rsidR="009F3A36">
        <w:rPr>
          <w:rFonts w:ascii="Times New Roman" w:hAnsi="Times New Roman" w:cs="Times New Roman"/>
        </w:rPr>
        <w:t>the following agreement</w:t>
      </w:r>
      <w:r w:rsidR="00415598">
        <w:rPr>
          <w:rFonts w:ascii="Times New Roman" w:hAnsi="Times New Roman" w:cs="Times New Roman"/>
        </w:rPr>
        <w:t>s</w:t>
      </w:r>
      <w:r w:rsidR="009F3A36">
        <w:rPr>
          <w:rFonts w:ascii="Times New Roman" w:hAnsi="Times New Roman" w:cs="Times New Roman"/>
        </w:rPr>
        <w:t xml:space="preserve"> w</w:t>
      </w:r>
      <w:r w:rsidR="00415598">
        <w:rPr>
          <w:rFonts w:ascii="Times New Roman" w:hAnsi="Times New Roman" w:cs="Times New Roman"/>
        </w:rPr>
        <w:t>ere</w:t>
      </w:r>
      <w:r w:rsidR="009F3A36">
        <w:rPr>
          <w:rFonts w:ascii="Times New Roman" w:hAnsi="Times New Roman" w:cs="Times New Roman"/>
        </w:rPr>
        <w:t xml:space="preserve"> reached at RAN1</w:t>
      </w:r>
      <w:r w:rsidR="00E46E8F">
        <w:rPr>
          <w:rFonts w:ascii="Times New Roman" w:hAnsi="Times New Roman" w:cs="Times New Roman"/>
        </w:rPr>
        <w:t>#98b</w:t>
      </w:r>
      <w:r w:rsidR="00417D42" w:rsidRPr="00B1729E">
        <w:rPr>
          <w:rFonts w:ascii="Times New Roman" w:hAnsi="Times New Roman" w:cs="Times New Roman"/>
        </w:rPr>
        <w:t>:</w:t>
      </w:r>
    </w:p>
    <w:p w14:paraId="6931FA04" w14:textId="77777777" w:rsidR="00843140" w:rsidRPr="00F22067" w:rsidRDefault="00843140" w:rsidP="00843140">
      <w:p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highlight w:val="green"/>
          <w:lang w:val="en-GB" w:eastAsia="x-none"/>
        </w:rPr>
        <w:t>Agreement:</w:t>
      </w:r>
    </w:p>
    <w:p w14:paraId="3D515015" w14:textId="77777777" w:rsidR="00843140" w:rsidRPr="00F22067" w:rsidRDefault="00843140" w:rsidP="00843140">
      <w:p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Add a COT duration bit-field per serving cell in GC-PDCCH, i.e., DCI format 2_0</w:t>
      </w:r>
    </w:p>
    <w:p w14:paraId="737A0D4B" w14:textId="77777777" w:rsidR="00843140" w:rsidRPr="00F22067" w:rsidRDefault="00843140" w:rsidP="00843140">
      <w:pPr>
        <w:numPr>
          <w:ilvl w:val="0"/>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The following are configurable by RRC:</w:t>
      </w:r>
    </w:p>
    <w:p w14:paraId="2C5CE404" w14:textId="77777777" w:rsidR="00843140" w:rsidRPr="00F22067" w:rsidRDefault="00843140" w:rsidP="00843140">
      <w:pPr>
        <w:numPr>
          <w:ilvl w:val="1"/>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Presence of this bit-field</w:t>
      </w:r>
    </w:p>
    <w:p w14:paraId="02A44B58" w14:textId="77777777" w:rsidR="00843140" w:rsidRPr="00F22067" w:rsidRDefault="00843140" w:rsidP="00843140">
      <w:pPr>
        <w:numPr>
          <w:ilvl w:val="1"/>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Location of this bit-field in the DCI</w:t>
      </w:r>
    </w:p>
    <w:p w14:paraId="73EB12EE" w14:textId="77777777" w:rsidR="00843140" w:rsidRPr="00F22067" w:rsidRDefault="00843140" w:rsidP="00843140">
      <w:pPr>
        <w:numPr>
          <w:ilvl w:val="1"/>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 xml:space="preserve">Length of this bit-field in the DCI </w:t>
      </w:r>
    </w:p>
    <w:p w14:paraId="1C423BDC" w14:textId="77777777" w:rsidR="00843140" w:rsidRPr="00F22067" w:rsidRDefault="00843140" w:rsidP="00843140">
      <w:pPr>
        <w:numPr>
          <w:ilvl w:val="2"/>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FFS: Whether a single value will suffice in which case, the length is not configurable</w:t>
      </w:r>
    </w:p>
    <w:p w14:paraId="33FF3A05" w14:textId="77777777" w:rsidR="00843140" w:rsidRPr="00F22067" w:rsidRDefault="00843140" w:rsidP="00843140">
      <w:pPr>
        <w:numPr>
          <w:ilvl w:val="1"/>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Encoding of the bit field value, i.e., what COT duration corresponds to which bit-field value</w:t>
      </w:r>
    </w:p>
    <w:p w14:paraId="61619626" w14:textId="77777777" w:rsidR="00843140" w:rsidRPr="00F22067" w:rsidRDefault="00843140" w:rsidP="00843140">
      <w:pPr>
        <w:numPr>
          <w:ilvl w:val="0"/>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If a UE receives this bit-field, it applies the knowledge about end-of-COT at least for the purpose of UL transmission LBT category switching in a gNB-acquired COT</w:t>
      </w:r>
    </w:p>
    <w:p w14:paraId="77CA22D1" w14:textId="77777777" w:rsidR="00843140" w:rsidRPr="00F22067" w:rsidRDefault="00843140" w:rsidP="00843140">
      <w:pPr>
        <w:numPr>
          <w:ilvl w:val="0"/>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If this field is not present, UE should use SFI indication to determine end-of-COT (if SFI is available)</w:t>
      </w:r>
    </w:p>
    <w:p w14:paraId="20A6A529" w14:textId="77777777" w:rsidR="00843140" w:rsidRPr="00F22067" w:rsidRDefault="00843140" w:rsidP="00843140">
      <w:pPr>
        <w:numPr>
          <w:ilvl w:val="1"/>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FFS: details for this SFI-based mechanism</w:t>
      </w:r>
    </w:p>
    <w:p w14:paraId="341AEBD7" w14:textId="77777777" w:rsidR="00843140" w:rsidRPr="00F22067" w:rsidRDefault="00843140" w:rsidP="00843140">
      <w:pPr>
        <w:numPr>
          <w:ilvl w:val="0"/>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FFS: Whether the duration is encoded as e.g., total length or remaining length.</w:t>
      </w:r>
    </w:p>
    <w:p w14:paraId="07D657B3" w14:textId="77777777" w:rsidR="00843140" w:rsidRPr="00F22067" w:rsidRDefault="00843140" w:rsidP="00843140">
      <w:pPr>
        <w:numPr>
          <w:ilvl w:val="0"/>
          <w:numId w:val="18"/>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FFS: Granularity the signalled duration</w:t>
      </w:r>
    </w:p>
    <w:p w14:paraId="44EF112B" w14:textId="77777777" w:rsidR="00843140" w:rsidRPr="00F22067" w:rsidRDefault="00843140" w:rsidP="00843140">
      <w:pPr>
        <w:spacing w:after="0" w:line="240" w:lineRule="auto"/>
        <w:rPr>
          <w:rFonts w:ascii="Times" w:eastAsia="Batang" w:hAnsi="Times" w:cs="Times New Roman"/>
          <w:i/>
          <w:sz w:val="20"/>
          <w:szCs w:val="24"/>
          <w:lang w:val="en-GB" w:eastAsia="x-none"/>
        </w:rPr>
      </w:pPr>
    </w:p>
    <w:p w14:paraId="22727FBB" w14:textId="77777777" w:rsidR="00843140" w:rsidRPr="00F22067" w:rsidRDefault="00843140" w:rsidP="00843140">
      <w:p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highlight w:val="green"/>
          <w:lang w:val="en-GB" w:eastAsia="x-none"/>
        </w:rPr>
        <w:t>Agreement:</w:t>
      </w:r>
    </w:p>
    <w:p w14:paraId="1D9AEBFF" w14:textId="77777777" w:rsidR="00843140" w:rsidRPr="00F22067" w:rsidRDefault="00843140" w:rsidP="00843140">
      <w:pPr>
        <w:numPr>
          <w:ilvl w:val="0"/>
          <w:numId w:val="17"/>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A UE can be provided with at least two groups (FFS: more than two groups) of search space sets for PDCCH. The UE can be configured to switch between the groups, indicated based on at least the following alternatives.</w:t>
      </w:r>
    </w:p>
    <w:p w14:paraId="5B5C5EEA" w14:textId="77777777" w:rsidR="00843140" w:rsidRPr="00F22067" w:rsidRDefault="00843140" w:rsidP="00843140">
      <w:pPr>
        <w:numPr>
          <w:ilvl w:val="1"/>
          <w:numId w:val="17"/>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Alt 1: implicitly e.g. after detection of [FFS: DL burst, (WB-)DM-RS, GC-PDCCH and/or PDCCH] and/or e.g., based on information on COT structure.</w:t>
      </w:r>
    </w:p>
    <w:p w14:paraId="01B22994" w14:textId="77777777" w:rsidR="00843140" w:rsidRPr="00F22067" w:rsidRDefault="00843140" w:rsidP="00843140">
      <w:pPr>
        <w:numPr>
          <w:ilvl w:val="1"/>
          <w:numId w:val="17"/>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Alt 2: explicitly in GC-PDCCH and/or PDCCH</w:t>
      </w:r>
    </w:p>
    <w:p w14:paraId="2AF1BBD4" w14:textId="77777777" w:rsidR="00843140" w:rsidRPr="00F22067" w:rsidRDefault="00843140" w:rsidP="00843140">
      <w:pPr>
        <w:numPr>
          <w:ilvl w:val="0"/>
          <w:numId w:val="17"/>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Search space sets that are not part of the configured groups (e.g., a common search space set) will always be monitored by the UE regardless of the search space set indication</w:t>
      </w:r>
    </w:p>
    <w:p w14:paraId="16BF7C2D" w14:textId="77777777" w:rsidR="00843140" w:rsidRPr="00F22067" w:rsidRDefault="00843140" w:rsidP="00843140">
      <w:pPr>
        <w:numPr>
          <w:ilvl w:val="0"/>
          <w:numId w:val="17"/>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A single search space set can be part of more than one group.</w:t>
      </w:r>
    </w:p>
    <w:p w14:paraId="4B0B91C1" w14:textId="77777777" w:rsidR="00843140" w:rsidRPr="00F22067" w:rsidRDefault="00843140" w:rsidP="00843140">
      <w:pPr>
        <w:numPr>
          <w:ilvl w:val="0"/>
          <w:numId w:val="17"/>
        </w:numPr>
        <w:spacing w:after="0" w:line="240" w:lineRule="auto"/>
        <w:rPr>
          <w:rFonts w:ascii="Times" w:eastAsia="Batang" w:hAnsi="Times" w:cs="Times New Roman"/>
          <w:i/>
          <w:sz w:val="20"/>
          <w:szCs w:val="24"/>
          <w:lang w:val="en-GB" w:eastAsia="x-none"/>
        </w:rPr>
      </w:pPr>
      <w:r w:rsidRPr="00F22067">
        <w:rPr>
          <w:rFonts w:ascii="Times" w:eastAsia="Batang" w:hAnsi="Times" w:cs="Times New Roman"/>
          <w:i/>
          <w:sz w:val="20"/>
          <w:szCs w:val="24"/>
          <w:lang w:val="en-GB" w:eastAsia="x-none"/>
        </w:rPr>
        <w:t>It is up to RAN2 to optimize the signalling to minimize overhead.</w:t>
      </w:r>
    </w:p>
    <w:p w14:paraId="15603C4F" w14:textId="754EC03E" w:rsidR="00D2530F" w:rsidRDefault="00D2530F" w:rsidP="00B1729E">
      <w:pPr>
        <w:jc w:val="both"/>
        <w:rPr>
          <w:rFonts w:ascii="Times New Roman" w:hAnsi="Times New Roman" w:cs="Times New Roman"/>
          <w:lang w:val="en-GB"/>
        </w:rPr>
      </w:pPr>
    </w:p>
    <w:p w14:paraId="15F6C8A3" w14:textId="445D5638" w:rsidR="00417D42" w:rsidRDefault="00417D42" w:rsidP="00B1729E">
      <w:pPr>
        <w:jc w:val="both"/>
        <w:rPr>
          <w:rFonts w:ascii="Times New Roman" w:hAnsi="Times New Roman" w:cs="Times New Roman"/>
        </w:rPr>
      </w:pPr>
      <w:r w:rsidRPr="00B1729E">
        <w:rPr>
          <w:rFonts w:ascii="Times New Roman" w:hAnsi="Times New Roman" w:cs="Times New Roman"/>
        </w:rPr>
        <w:t xml:space="preserve">In this contribution we discuss </w:t>
      </w:r>
      <w:r w:rsidR="00C26B3A">
        <w:rPr>
          <w:rFonts w:ascii="Times New Roman" w:hAnsi="Times New Roman" w:cs="Times New Roman"/>
        </w:rPr>
        <w:t xml:space="preserve">remaining details for PDCCH monitoring, COT structure indication and </w:t>
      </w:r>
      <w:r w:rsidR="00760232">
        <w:rPr>
          <w:rFonts w:ascii="Times New Roman" w:hAnsi="Times New Roman" w:cs="Times New Roman"/>
        </w:rPr>
        <w:t>CSI-RS.</w:t>
      </w:r>
    </w:p>
    <w:p w14:paraId="220B089C" w14:textId="77777777" w:rsidR="00AF1A84" w:rsidRPr="00B1729E" w:rsidRDefault="00AF1A84" w:rsidP="00B1729E">
      <w:pPr>
        <w:jc w:val="both"/>
        <w:rPr>
          <w:rFonts w:ascii="Times New Roman" w:hAnsi="Times New Roman" w:cs="Times New Roman"/>
        </w:rPr>
      </w:pPr>
    </w:p>
    <w:p w14:paraId="12A9519C" w14:textId="77777777" w:rsidR="001F6424" w:rsidRPr="00B1729E" w:rsidRDefault="001F6424" w:rsidP="001F6424">
      <w:pPr>
        <w:pStyle w:val="Heading1"/>
        <w:jc w:val="both"/>
        <w:rPr>
          <w:rFonts w:ascii="Times New Roman" w:hAnsi="Times New Roman"/>
          <w:b/>
          <w:sz w:val="32"/>
          <w:szCs w:val="32"/>
        </w:rPr>
      </w:pPr>
      <w:r w:rsidRPr="00B1729E">
        <w:rPr>
          <w:rFonts w:ascii="Times New Roman" w:hAnsi="Times New Roman"/>
          <w:b/>
          <w:sz w:val="32"/>
          <w:szCs w:val="32"/>
        </w:rPr>
        <w:t>COT structure indication</w:t>
      </w:r>
    </w:p>
    <w:p w14:paraId="3FC758B0" w14:textId="5912DCFC" w:rsidR="00A7210C" w:rsidRDefault="00696E4F" w:rsidP="001F6424">
      <w:pPr>
        <w:spacing w:after="120"/>
        <w:jc w:val="both"/>
        <w:rPr>
          <w:rFonts w:ascii="Times New Roman" w:hAnsi="Times New Roman" w:cs="Times New Roman"/>
          <w:lang w:val="en-GB" w:eastAsia="zh-CN"/>
        </w:rPr>
      </w:pPr>
      <w:r>
        <w:rPr>
          <w:rFonts w:ascii="Times New Roman" w:hAnsi="Times New Roman" w:cs="Times New Roman"/>
          <w:lang w:val="en-GB" w:eastAsia="zh-CN"/>
        </w:rPr>
        <w:t>At RAN1#98b, it was agreed that the COT duration could be provided in the GC-PDCCH</w:t>
      </w:r>
      <w:r w:rsidR="003E1FA9">
        <w:rPr>
          <w:rFonts w:ascii="Times New Roman" w:hAnsi="Times New Roman" w:cs="Times New Roman"/>
          <w:lang w:val="en-GB" w:eastAsia="zh-CN"/>
        </w:rPr>
        <w:t xml:space="preserve">. An FFS remains as to how the information is encoded, either as total length or as remaining length. </w:t>
      </w:r>
      <w:r w:rsidR="0088602A">
        <w:rPr>
          <w:rFonts w:ascii="Times New Roman" w:hAnsi="Times New Roman" w:cs="Times New Roman"/>
          <w:lang w:val="en-GB" w:eastAsia="zh-CN"/>
        </w:rPr>
        <w:t xml:space="preserve">For robustness and flexibility, </w:t>
      </w:r>
      <w:r w:rsidR="00211C14">
        <w:rPr>
          <w:rFonts w:ascii="Times New Roman" w:hAnsi="Times New Roman" w:cs="Times New Roman"/>
          <w:lang w:val="en-GB" w:eastAsia="zh-CN"/>
        </w:rPr>
        <w:lastRenderedPageBreak/>
        <w:t>it should be possible for the COT structure indication to be transmitted multiple times in a COT. This can ensure that if a UE misses a first transmission of a COT structure indication</w:t>
      </w:r>
      <w:r w:rsidR="00DC57A6">
        <w:rPr>
          <w:rFonts w:ascii="Times New Roman" w:hAnsi="Times New Roman" w:cs="Times New Roman"/>
          <w:lang w:val="en-GB" w:eastAsia="zh-CN"/>
        </w:rPr>
        <w:t>,</w:t>
      </w:r>
      <w:r w:rsidR="00211C14">
        <w:rPr>
          <w:rFonts w:ascii="Times New Roman" w:hAnsi="Times New Roman" w:cs="Times New Roman"/>
          <w:lang w:val="en-GB" w:eastAsia="zh-CN"/>
        </w:rPr>
        <w:t xml:space="preserve"> </w:t>
      </w:r>
      <w:r w:rsidR="0016532D">
        <w:rPr>
          <w:rFonts w:ascii="Times New Roman" w:hAnsi="Times New Roman" w:cs="Times New Roman"/>
          <w:lang w:val="en-GB" w:eastAsia="zh-CN"/>
        </w:rPr>
        <w:t>it can receive it at a later time in the COT</w:t>
      </w:r>
      <w:r w:rsidR="003755DD">
        <w:rPr>
          <w:rFonts w:ascii="Times New Roman" w:hAnsi="Times New Roman" w:cs="Times New Roman"/>
          <w:lang w:val="en-GB" w:eastAsia="zh-CN"/>
        </w:rPr>
        <w:t>. Furthermore, updating the COT structure indication can enable network flexibility on how it uses its COT. Based on this, it makes sense that the duration be encoded as remaining length. That is because encoding it as total length</w:t>
      </w:r>
      <w:r w:rsidR="00B12D38">
        <w:rPr>
          <w:rFonts w:ascii="Times New Roman" w:hAnsi="Times New Roman" w:cs="Times New Roman"/>
          <w:lang w:val="en-GB" w:eastAsia="zh-CN"/>
        </w:rPr>
        <w:t xml:space="preserve"> requires information about the start time of a COT in the event the UE missed the original COT structure indication transmission</w:t>
      </w:r>
      <w:r w:rsidR="0007627A">
        <w:rPr>
          <w:rFonts w:ascii="Times New Roman" w:hAnsi="Times New Roman" w:cs="Times New Roman"/>
          <w:lang w:val="en-GB" w:eastAsia="zh-CN"/>
        </w:rPr>
        <w:t>, thus increasing the payload.</w:t>
      </w:r>
      <w:r w:rsidR="004B6429">
        <w:rPr>
          <w:rFonts w:ascii="Times New Roman" w:hAnsi="Times New Roman" w:cs="Times New Roman"/>
          <w:lang w:val="en-GB" w:eastAsia="zh-CN"/>
        </w:rPr>
        <w:t xml:space="preserve"> Moreover, for flexibility the COT structure indication can be updated during a COT, and so the UE </w:t>
      </w:r>
      <w:r w:rsidR="007946EA">
        <w:rPr>
          <w:rFonts w:ascii="Times New Roman" w:hAnsi="Times New Roman" w:cs="Times New Roman"/>
          <w:lang w:val="en-GB" w:eastAsia="zh-CN"/>
        </w:rPr>
        <w:t>should not expect any of the values of the COT structure indication to remain fixed throughout a COT.</w:t>
      </w:r>
    </w:p>
    <w:p w14:paraId="7C62828C" w14:textId="623819FC" w:rsidR="007946EA" w:rsidRDefault="007946EA" w:rsidP="007946EA">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1</w:t>
      </w:r>
      <w:r w:rsidRPr="00B1729E">
        <w:rPr>
          <w:rFonts w:ascii="Times New Roman" w:hAnsi="Times New Roman"/>
          <w:sz w:val="22"/>
          <w:szCs w:val="22"/>
          <w:u w:val="single"/>
        </w:rPr>
        <w:t>:</w:t>
      </w:r>
      <w:r w:rsidRPr="00B1729E">
        <w:rPr>
          <w:rFonts w:ascii="Times New Roman" w:hAnsi="Times New Roman"/>
          <w:sz w:val="22"/>
          <w:szCs w:val="22"/>
        </w:rPr>
        <w:tab/>
      </w:r>
      <w:r w:rsidR="00CE34DC">
        <w:rPr>
          <w:rFonts w:ascii="Times New Roman" w:hAnsi="Times New Roman"/>
          <w:b w:val="0"/>
          <w:i/>
          <w:sz w:val="22"/>
          <w:szCs w:val="22"/>
        </w:rPr>
        <w:t>The COT duration bitfield should encode the remaining time duration of the COT.</w:t>
      </w:r>
    </w:p>
    <w:p w14:paraId="1BF149CF" w14:textId="77777777" w:rsidR="001F6424" w:rsidRPr="00F22067" w:rsidRDefault="001F6424" w:rsidP="00B1729E">
      <w:pPr>
        <w:jc w:val="both"/>
        <w:rPr>
          <w:rFonts w:ascii="Times New Roman" w:hAnsi="Times New Roman" w:cs="Times New Roman"/>
          <w:color w:val="FF0000"/>
          <w:lang w:val="en-GB"/>
        </w:rPr>
      </w:pPr>
    </w:p>
    <w:p w14:paraId="6974CCC1" w14:textId="393398D5" w:rsidR="00417D42" w:rsidRPr="00B1729E" w:rsidRDefault="00E473F2" w:rsidP="00B1729E">
      <w:pPr>
        <w:pStyle w:val="Heading1"/>
        <w:jc w:val="both"/>
        <w:rPr>
          <w:rFonts w:ascii="Times New Roman" w:hAnsi="Times New Roman"/>
          <w:b/>
          <w:sz w:val="32"/>
          <w:szCs w:val="32"/>
        </w:rPr>
      </w:pPr>
      <w:r w:rsidRPr="00B1729E">
        <w:rPr>
          <w:rFonts w:ascii="Times New Roman" w:hAnsi="Times New Roman"/>
          <w:b/>
          <w:sz w:val="32"/>
          <w:szCs w:val="32"/>
        </w:rPr>
        <w:t>PDCCH monitoring</w:t>
      </w:r>
    </w:p>
    <w:p w14:paraId="467EDB56" w14:textId="274E0D33" w:rsidR="000F2BFC" w:rsidRDefault="009A000F" w:rsidP="00835651">
      <w:pPr>
        <w:spacing w:after="120"/>
        <w:jc w:val="both"/>
        <w:rPr>
          <w:rFonts w:ascii="Times New Roman" w:hAnsi="Times New Roman" w:cs="Times New Roman"/>
          <w:lang w:val="en-GB" w:eastAsia="zh-CN"/>
        </w:rPr>
      </w:pPr>
      <w:r w:rsidRPr="00F22067">
        <w:rPr>
          <w:rFonts w:ascii="Times New Roman" w:hAnsi="Times New Roman" w:cs="Times New Roman"/>
          <w:lang w:val="en-GB" w:eastAsia="zh-CN"/>
        </w:rPr>
        <w:t>During RAN1#98b it was agreed that a UE can be provided with at least two groups of search space sets for PDCCH</w:t>
      </w:r>
      <w:r w:rsidR="00835651">
        <w:rPr>
          <w:rFonts w:ascii="Times New Roman" w:hAnsi="Times New Roman" w:cs="Times New Roman"/>
          <w:lang w:val="en-GB" w:eastAsia="zh-CN"/>
        </w:rPr>
        <w:t xml:space="preserve">. The UE can be configured to switch between the groups based on either implicit indication or explicit indication. We would like to confirm that both Alternatives should be supported and can be supported </w:t>
      </w:r>
      <w:r w:rsidR="0083659B">
        <w:rPr>
          <w:rFonts w:ascii="Times New Roman" w:hAnsi="Times New Roman" w:cs="Times New Roman"/>
          <w:lang w:val="en-GB" w:eastAsia="zh-CN"/>
        </w:rPr>
        <w:t xml:space="preserve">by a UE </w:t>
      </w:r>
      <w:r w:rsidR="00835651">
        <w:rPr>
          <w:rFonts w:ascii="Times New Roman" w:hAnsi="Times New Roman" w:cs="Times New Roman"/>
          <w:lang w:val="en-GB" w:eastAsia="zh-CN"/>
        </w:rPr>
        <w:t>simultaneously.</w:t>
      </w:r>
    </w:p>
    <w:p w14:paraId="6D1F20F9" w14:textId="19043461" w:rsidR="00835651" w:rsidRDefault="00835651" w:rsidP="00835651">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5C31DD">
        <w:rPr>
          <w:rFonts w:ascii="Times New Roman" w:hAnsi="Times New Roman"/>
          <w:sz w:val="22"/>
          <w:szCs w:val="22"/>
          <w:u w:val="single"/>
        </w:rPr>
        <w:t>2</w:t>
      </w:r>
      <w:r w:rsidRPr="00B1729E">
        <w:rPr>
          <w:rFonts w:ascii="Times New Roman" w:hAnsi="Times New Roman"/>
          <w:sz w:val="22"/>
          <w:szCs w:val="22"/>
          <w:u w:val="single"/>
        </w:rPr>
        <w:t>:</w:t>
      </w:r>
      <w:r w:rsidRPr="00B1729E">
        <w:rPr>
          <w:rFonts w:ascii="Times New Roman" w:hAnsi="Times New Roman"/>
          <w:sz w:val="22"/>
          <w:szCs w:val="22"/>
        </w:rPr>
        <w:tab/>
      </w:r>
      <w:r w:rsidR="0083659B">
        <w:rPr>
          <w:rFonts w:ascii="Times New Roman" w:hAnsi="Times New Roman"/>
          <w:b w:val="0"/>
          <w:i/>
          <w:sz w:val="22"/>
          <w:szCs w:val="22"/>
        </w:rPr>
        <w:t>A UE can be configured to simultaneously support implicit (Alt 1) and explicit (Alt. 2) switching between groups of search space sets.</w:t>
      </w:r>
    </w:p>
    <w:p w14:paraId="3D07FF5F" w14:textId="77777777" w:rsidR="005247C5" w:rsidRDefault="005247C5" w:rsidP="00FE3122">
      <w:pPr>
        <w:spacing w:after="120"/>
        <w:jc w:val="both"/>
        <w:rPr>
          <w:rFonts w:ascii="Times New Roman" w:hAnsi="Times New Roman" w:cs="Times New Roman"/>
          <w:lang w:val="en-GB" w:eastAsia="zh-CN"/>
        </w:rPr>
      </w:pPr>
    </w:p>
    <w:p w14:paraId="198081CE" w14:textId="0DCE43B4" w:rsidR="00FE3122" w:rsidRPr="00F22067" w:rsidRDefault="00FE3122" w:rsidP="00F22067">
      <w:pPr>
        <w:spacing w:after="120"/>
        <w:jc w:val="both"/>
        <w:rPr>
          <w:rFonts w:ascii="Times New Roman" w:hAnsi="Times New Roman"/>
          <w:b/>
        </w:rPr>
      </w:pPr>
      <w:r>
        <w:rPr>
          <w:rFonts w:ascii="Times New Roman" w:hAnsi="Times New Roman" w:cs="Times New Roman"/>
          <w:lang w:val="en-GB" w:eastAsia="zh-CN"/>
        </w:rPr>
        <w:t xml:space="preserve">Furthermore, the COT duration, as discussed in the previous section, can be used </w:t>
      </w:r>
      <w:r w:rsidR="0003792E">
        <w:rPr>
          <w:rFonts w:ascii="Times New Roman" w:hAnsi="Times New Roman" w:cs="Times New Roman"/>
          <w:lang w:val="en-GB" w:eastAsia="zh-CN"/>
        </w:rPr>
        <w:t>as an implicit indication to switch between search space sets at the conclusion of a COT.</w:t>
      </w:r>
    </w:p>
    <w:p w14:paraId="1F56F548" w14:textId="77777777" w:rsidR="00835651" w:rsidRPr="00F22067" w:rsidRDefault="00835651" w:rsidP="00F22067">
      <w:pPr>
        <w:spacing w:after="120"/>
        <w:jc w:val="both"/>
        <w:rPr>
          <w:rFonts w:ascii="Times New Roman" w:hAnsi="Times New Roman"/>
          <w:b/>
        </w:rPr>
      </w:pPr>
    </w:p>
    <w:p w14:paraId="115395E9" w14:textId="1B6C9984" w:rsidR="00E00E58" w:rsidRPr="00B1729E" w:rsidRDefault="003077D5" w:rsidP="000F2BFC">
      <w:pPr>
        <w:spacing w:after="120"/>
        <w:jc w:val="both"/>
        <w:rPr>
          <w:rFonts w:ascii="Times New Roman" w:hAnsi="Times New Roman" w:cs="Times New Roman"/>
          <w:u w:val="single"/>
          <w:lang w:val="en-GB" w:eastAsia="zh-CN"/>
        </w:rPr>
      </w:pPr>
      <w:r w:rsidRPr="00B1729E">
        <w:rPr>
          <w:rFonts w:ascii="Times New Roman" w:hAnsi="Times New Roman" w:cs="Times New Roman"/>
          <w:u w:val="single"/>
          <w:lang w:val="en-GB" w:eastAsia="zh-CN"/>
        </w:rPr>
        <w:t>Wideband Operation</w:t>
      </w:r>
    </w:p>
    <w:p w14:paraId="054B3784" w14:textId="62322295" w:rsidR="0071014C" w:rsidRDefault="003077D5" w:rsidP="000F2BFC">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For wideband operation, it has been agreed that for </w:t>
      </w:r>
      <w:r w:rsidR="0071014C">
        <w:rPr>
          <w:rFonts w:ascii="Times New Roman" w:hAnsi="Times New Roman" w:cs="Times New Roman"/>
          <w:lang w:val="en-GB" w:eastAsia="zh-CN"/>
        </w:rPr>
        <w:t xml:space="preserve">the </w:t>
      </w:r>
      <w:r w:rsidRPr="00B1729E">
        <w:rPr>
          <w:rFonts w:ascii="Times New Roman" w:hAnsi="Times New Roman" w:cs="Times New Roman"/>
          <w:lang w:val="en-GB" w:eastAsia="zh-CN"/>
        </w:rPr>
        <w:t>DL</w:t>
      </w:r>
      <w:r w:rsidR="00080830" w:rsidRPr="00B1729E">
        <w:rPr>
          <w:rFonts w:ascii="Times New Roman" w:hAnsi="Times New Roman" w:cs="Times New Roman"/>
          <w:lang w:val="en-GB" w:eastAsia="zh-CN"/>
        </w:rPr>
        <w:t>,</w:t>
      </w:r>
      <w:r w:rsidRPr="00B1729E">
        <w:rPr>
          <w:rFonts w:ascii="Times New Roman" w:hAnsi="Times New Roman" w:cs="Times New Roman"/>
          <w:lang w:val="en-GB" w:eastAsia="zh-CN"/>
        </w:rPr>
        <w:t xml:space="preserve"> a gNB may transmit PDSCH on parts or whole of a single active BWP, where an active BWP may be composed of multiple LBT subbands.</w:t>
      </w:r>
    </w:p>
    <w:p w14:paraId="63983C09" w14:textId="08BFE881" w:rsidR="0079394A" w:rsidRDefault="003077D5" w:rsidP="000F2BFC">
      <w:pPr>
        <w:spacing w:after="120"/>
        <w:jc w:val="both"/>
        <w:rPr>
          <w:rFonts w:ascii="Times New Roman" w:hAnsi="Times New Roman" w:cs="Times New Roman"/>
          <w:lang w:val="en-GB" w:eastAsia="zh-CN"/>
        </w:rPr>
      </w:pPr>
      <w:r w:rsidRPr="00B1729E">
        <w:rPr>
          <w:rFonts w:ascii="Times New Roman" w:hAnsi="Times New Roman" w:cs="Times New Roman"/>
          <w:lang w:val="en-GB" w:eastAsia="zh-CN"/>
        </w:rPr>
        <w:t xml:space="preserve">For full flexibility, the UE needs to be able to detect the gNB’s acquisition of any set of, possibly contiguous, LBT subbands. </w:t>
      </w:r>
      <w:r w:rsidR="00B70C58">
        <w:rPr>
          <w:rFonts w:ascii="Times New Roman" w:hAnsi="Times New Roman" w:cs="Times New Roman"/>
          <w:lang w:val="en-GB" w:eastAsia="zh-CN"/>
        </w:rPr>
        <w:t xml:space="preserve">This requires that a UE monitor DM-RS and/or GC-PDCCH in every LBT subband at least </w:t>
      </w:r>
      <w:r w:rsidR="004C46D8">
        <w:rPr>
          <w:rFonts w:ascii="Times New Roman" w:hAnsi="Times New Roman" w:cs="Times New Roman"/>
          <w:lang w:val="en-GB" w:eastAsia="zh-CN"/>
        </w:rPr>
        <w:t>prior to the start of a COT.</w:t>
      </w:r>
    </w:p>
    <w:p w14:paraId="11604C95" w14:textId="48FADD11" w:rsidR="00D00330" w:rsidRDefault="00683882" w:rsidP="000F2BFC">
      <w:pPr>
        <w:spacing w:after="120"/>
        <w:jc w:val="both"/>
        <w:rPr>
          <w:rFonts w:ascii="Times New Roman" w:hAnsi="Times New Roman" w:cs="Times New Roman"/>
          <w:lang w:val="en-GB" w:eastAsia="zh-CN"/>
        </w:rPr>
      </w:pPr>
      <w:r>
        <w:rPr>
          <w:rFonts w:ascii="Times New Roman" w:hAnsi="Times New Roman" w:cs="Times New Roman"/>
          <w:lang w:val="en-GB" w:eastAsia="zh-CN"/>
        </w:rPr>
        <w:t>It was also agreed that a search space could have multiple monitoring locations in frequency. For example, a search-space can have one monitoring location per LBT subband.</w:t>
      </w:r>
      <w:r w:rsidR="00072B05">
        <w:rPr>
          <w:rFonts w:ascii="Times New Roman" w:hAnsi="Times New Roman" w:cs="Times New Roman"/>
          <w:lang w:val="en-GB" w:eastAsia="zh-CN"/>
        </w:rPr>
        <w:t xml:space="preserve"> A UE configured with two groups of search space sets for PDCCH </w:t>
      </w:r>
      <w:r w:rsidR="008808A7">
        <w:rPr>
          <w:rFonts w:ascii="Times New Roman" w:hAnsi="Times New Roman" w:cs="Times New Roman"/>
          <w:lang w:val="en-GB" w:eastAsia="zh-CN"/>
        </w:rPr>
        <w:t xml:space="preserve">would thus switch to a </w:t>
      </w:r>
      <w:r w:rsidR="00970E4E">
        <w:rPr>
          <w:rFonts w:ascii="Times New Roman" w:hAnsi="Times New Roman" w:cs="Times New Roman"/>
          <w:lang w:val="en-GB" w:eastAsia="zh-CN"/>
        </w:rPr>
        <w:t xml:space="preserve">single </w:t>
      </w:r>
      <w:r w:rsidR="008808A7">
        <w:rPr>
          <w:rFonts w:ascii="Times New Roman" w:hAnsi="Times New Roman" w:cs="Times New Roman"/>
          <w:lang w:val="en-GB" w:eastAsia="zh-CN"/>
        </w:rPr>
        <w:t xml:space="preserve">group regardless of the number of LBT subbands acquired for a COT. </w:t>
      </w:r>
      <w:r w:rsidR="00F47AAA">
        <w:rPr>
          <w:rFonts w:ascii="Times New Roman" w:hAnsi="Times New Roman" w:cs="Times New Roman"/>
          <w:lang w:val="en-GB" w:eastAsia="zh-CN"/>
        </w:rPr>
        <w:t xml:space="preserve">Based on the set of acquired LBT subbands, the UE could disregard some search space monitoring locations. However, having a single group of search space </w:t>
      </w:r>
      <w:r w:rsidR="00C43E3F">
        <w:rPr>
          <w:rFonts w:ascii="Times New Roman" w:hAnsi="Times New Roman" w:cs="Times New Roman"/>
          <w:lang w:val="en-GB" w:eastAsia="zh-CN"/>
        </w:rPr>
        <w:t xml:space="preserve">sets for a COT means that there could be a lack of flexibility based on the set of acquired LBT subbands. For example, the configuration of the set used for an active COT </w:t>
      </w:r>
      <w:r w:rsidR="004A278B">
        <w:rPr>
          <w:rFonts w:ascii="Times New Roman" w:hAnsi="Times New Roman" w:cs="Times New Roman"/>
          <w:lang w:val="en-GB" w:eastAsia="zh-CN"/>
        </w:rPr>
        <w:t>could be optimized for the case of all LBT subbands being acquired.</w:t>
      </w:r>
      <w:r w:rsidR="00107A4C">
        <w:rPr>
          <w:rFonts w:ascii="Times New Roman" w:hAnsi="Times New Roman" w:cs="Times New Roman"/>
          <w:lang w:val="en-GB" w:eastAsia="zh-CN"/>
        </w:rPr>
        <w:t xml:space="preserve"> In this case, the UE would have to be configured with few search space sets</w:t>
      </w:r>
      <w:r w:rsidR="00064138">
        <w:rPr>
          <w:rFonts w:ascii="Times New Roman" w:hAnsi="Times New Roman" w:cs="Times New Roman"/>
          <w:lang w:val="en-GB" w:eastAsia="zh-CN"/>
        </w:rPr>
        <w:t xml:space="preserve"> (or smaller search spaces)</w:t>
      </w:r>
      <w:r w:rsidR="00107A4C">
        <w:rPr>
          <w:rFonts w:ascii="Times New Roman" w:hAnsi="Times New Roman" w:cs="Times New Roman"/>
          <w:lang w:val="en-GB" w:eastAsia="zh-CN"/>
        </w:rPr>
        <w:t>, given that all the monitoring locations could be valid and the BD or CCE channel estimation lim</w:t>
      </w:r>
      <w:r w:rsidR="00B40E75">
        <w:rPr>
          <w:rFonts w:ascii="Times New Roman" w:hAnsi="Times New Roman" w:cs="Times New Roman"/>
          <w:lang w:val="en-GB" w:eastAsia="zh-CN"/>
        </w:rPr>
        <w:t>i</w:t>
      </w:r>
      <w:r w:rsidR="00107A4C">
        <w:rPr>
          <w:rFonts w:ascii="Times New Roman" w:hAnsi="Times New Roman" w:cs="Times New Roman"/>
          <w:lang w:val="en-GB" w:eastAsia="zh-CN"/>
        </w:rPr>
        <w:t xml:space="preserve">ts would </w:t>
      </w:r>
      <w:r w:rsidR="004F55FE">
        <w:rPr>
          <w:rFonts w:ascii="Times New Roman" w:hAnsi="Times New Roman" w:cs="Times New Roman"/>
          <w:lang w:val="en-GB" w:eastAsia="zh-CN"/>
        </w:rPr>
        <w:t xml:space="preserve">come into play. </w:t>
      </w:r>
      <w:r w:rsidR="00B40E75">
        <w:rPr>
          <w:rFonts w:ascii="Times New Roman" w:hAnsi="Times New Roman" w:cs="Times New Roman"/>
          <w:lang w:val="en-GB" w:eastAsia="zh-CN"/>
        </w:rPr>
        <w:t>However</w:t>
      </w:r>
      <w:r w:rsidR="004F55FE">
        <w:rPr>
          <w:rFonts w:ascii="Times New Roman" w:hAnsi="Times New Roman" w:cs="Times New Roman"/>
          <w:lang w:val="en-GB" w:eastAsia="zh-CN"/>
        </w:rPr>
        <w:t xml:space="preserve">, the blocking probability would be reduced due to </w:t>
      </w:r>
      <w:r w:rsidR="00B40E75">
        <w:rPr>
          <w:rFonts w:ascii="Times New Roman" w:hAnsi="Times New Roman" w:cs="Times New Roman"/>
          <w:lang w:val="en-GB" w:eastAsia="zh-CN"/>
        </w:rPr>
        <w:t>the multiple monitoring locations.</w:t>
      </w:r>
      <w:r w:rsidR="005C214A">
        <w:rPr>
          <w:rFonts w:ascii="Times New Roman" w:hAnsi="Times New Roman" w:cs="Times New Roman"/>
          <w:lang w:val="en-GB" w:eastAsia="zh-CN"/>
        </w:rPr>
        <w:t xml:space="preserve"> On the other hand, for the case when a single LBT subband is acquired, the UE should be configured with a larger amount of search space sets</w:t>
      </w:r>
      <w:r w:rsidR="00064138">
        <w:rPr>
          <w:rFonts w:ascii="Times New Roman" w:hAnsi="Times New Roman" w:cs="Times New Roman"/>
          <w:lang w:val="en-GB" w:eastAsia="zh-CN"/>
        </w:rPr>
        <w:t xml:space="preserve"> (or larger search spaces)</w:t>
      </w:r>
      <w:r w:rsidR="005C214A">
        <w:rPr>
          <w:rFonts w:ascii="Times New Roman" w:hAnsi="Times New Roman" w:cs="Times New Roman"/>
          <w:lang w:val="en-GB" w:eastAsia="zh-CN"/>
        </w:rPr>
        <w:t>, given that each would have a single monitoring location</w:t>
      </w:r>
      <w:r w:rsidR="00CD3A53">
        <w:rPr>
          <w:rFonts w:ascii="Times New Roman" w:hAnsi="Times New Roman" w:cs="Times New Roman"/>
          <w:lang w:val="en-GB" w:eastAsia="zh-CN"/>
        </w:rPr>
        <w:t xml:space="preserve"> and in this case blocking probability could be an issue</w:t>
      </w:r>
      <w:r w:rsidR="004D7184">
        <w:rPr>
          <w:rFonts w:ascii="Times New Roman" w:hAnsi="Times New Roman" w:cs="Times New Roman"/>
          <w:lang w:val="en-GB" w:eastAsia="zh-CN"/>
        </w:rPr>
        <w:t xml:space="preserve">. These two configurations are </w:t>
      </w:r>
      <w:r w:rsidR="00943B3D">
        <w:rPr>
          <w:rFonts w:ascii="Times New Roman" w:hAnsi="Times New Roman" w:cs="Times New Roman"/>
          <w:lang w:val="en-GB" w:eastAsia="zh-CN"/>
        </w:rPr>
        <w:t>mutually exclusive, so at least for wideband, it makes sense to support more than two groups of search space sets, and the selection of a search space set can be based on the set of LBT subbands acquired for a COT.</w:t>
      </w:r>
    </w:p>
    <w:p w14:paraId="53FCAE6F" w14:textId="4547404E" w:rsidR="00CD3A53" w:rsidRDefault="00CD3A53" w:rsidP="00CD3A53">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5C31DD">
        <w:rPr>
          <w:rFonts w:ascii="Times New Roman" w:hAnsi="Times New Roman"/>
          <w:sz w:val="22"/>
          <w:szCs w:val="22"/>
          <w:u w:val="single"/>
        </w:rPr>
        <w:t>3</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be provided with more than two groups of search space sets for PDCCH at least for wideband operation.</w:t>
      </w:r>
      <w:r w:rsidR="00800C70">
        <w:rPr>
          <w:rFonts w:ascii="Times New Roman" w:hAnsi="Times New Roman"/>
          <w:b w:val="0"/>
          <w:i/>
          <w:sz w:val="22"/>
          <w:szCs w:val="22"/>
        </w:rPr>
        <w:t xml:space="preserve"> The UE selects the applicable group based on the set of </w:t>
      </w:r>
      <w:r w:rsidR="007A4FF4">
        <w:rPr>
          <w:rFonts w:ascii="Times New Roman" w:hAnsi="Times New Roman"/>
          <w:b w:val="0"/>
          <w:i/>
          <w:sz w:val="22"/>
          <w:szCs w:val="22"/>
        </w:rPr>
        <w:t xml:space="preserve">acquired </w:t>
      </w:r>
      <w:r w:rsidR="00800C70">
        <w:rPr>
          <w:rFonts w:ascii="Times New Roman" w:hAnsi="Times New Roman"/>
          <w:b w:val="0"/>
          <w:i/>
          <w:sz w:val="22"/>
          <w:szCs w:val="22"/>
        </w:rPr>
        <w:t xml:space="preserve">LBT subbands </w:t>
      </w:r>
      <w:r w:rsidR="007A4FF4">
        <w:rPr>
          <w:rFonts w:ascii="Times New Roman" w:hAnsi="Times New Roman"/>
          <w:b w:val="0"/>
          <w:i/>
          <w:sz w:val="22"/>
          <w:szCs w:val="22"/>
        </w:rPr>
        <w:t>of</w:t>
      </w:r>
      <w:r w:rsidR="00800C70">
        <w:rPr>
          <w:rFonts w:ascii="Times New Roman" w:hAnsi="Times New Roman"/>
          <w:b w:val="0"/>
          <w:i/>
          <w:sz w:val="22"/>
          <w:szCs w:val="22"/>
        </w:rPr>
        <w:t xml:space="preserve"> a COT.</w:t>
      </w:r>
    </w:p>
    <w:p w14:paraId="264BA07A" w14:textId="42E14564" w:rsidR="00800C70" w:rsidRDefault="00800C70" w:rsidP="00CD3A53">
      <w:pPr>
        <w:pStyle w:val="Observation"/>
        <w:numPr>
          <w:ilvl w:val="0"/>
          <w:numId w:val="0"/>
        </w:numPr>
        <w:tabs>
          <w:tab w:val="clear" w:pos="1701"/>
        </w:tabs>
        <w:ind w:left="1701" w:hanging="1701"/>
        <w:rPr>
          <w:rFonts w:ascii="Times New Roman" w:hAnsi="Times New Roman"/>
          <w:b w:val="0"/>
          <w:sz w:val="22"/>
          <w:szCs w:val="22"/>
        </w:rPr>
      </w:pPr>
    </w:p>
    <w:p w14:paraId="572FD27C" w14:textId="6AEBD05F" w:rsidR="00764CB3" w:rsidRPr="00F22067" w:rsidRDefault="00764CB3" w:rsidP="00F22067">
      <w:pPr>
        <w:spacing w:after="120"/>
        <w:jc w:val="both"/>
        <w:rPr>
          <w:rFonts w:ascii="Times New Roman" w:hAnsi="Times New Roman"/>
          <w:b/>
        </w:rPr>
      </w:pPr>
      <w:r w:rsidRPr="00F22067">
        <w:rPr>
          <w:rFonts w:ascii="Times New Roman" w:hAnsi="Times New Roman" w:cs="Times New Roman"/>
          <w:lang w:val="en-GB" w:eastAsia="zh-CN"/>
        </w:rPr>
        <w:t>Use of overbooking could overcome the issue presented above. For example, a UE could be configured with a large amo</w:t>
      </w:r>
      <w:r>
        <w:rPr>
          <w:rFonts w:ascii="Times New Roman" w:hAnsi="Times New Roman" w:cs="Times New Roman"/>
          <w:lang w:val="en-GB" w:eastAsia="zh-CN"/>
        </w:rPr>
        <w:t xml:space="preserve">unt of search space sets in the group </w:t>
      </w:r>
      <w:r w:rsidR="00AF3003">
        <w:rPr>
          <w:rFonts w:ascii="Times New Roman" w:hAnsi="Times New Roman" w:cs="Times New Roman"/>
          <w:lang w:val="en-GB" w:eastAsia="zh-CN"/>
        </w:rPr>
        <w:t>to be used in an active COT. Each search space set could have multiple monitoring locations to enable wideband operation. In such a case, the UE could drop search space sets in the event that multiple LBT subbands are acquired.</w:t>
      </w:r>
      <w:r w:rsidR="00D36668">
        <w:rPr>
          <w:rFonts w:ascii="Times New Roman" w:hAnsi="Times New Roman" w:cs="Times New Roman"/>
          <w:lang w:val="en-GB" w:eastAsia="zh-CN"/>
        </w:rPr>
        <w:t xml:space="preserve"> </w:t>
      </w:r>
      <w:r w:rsidR="00B11599">
        <w:rPr>
          <w:rFonts w:ascii="Times New Roman" w:hAnsi="Times New Roman" w:cs="Times New Roman"/>
          <w:lang w:val="en-GB" w:eastAsia="zh-CN"/>
        </w:rPr>
        <w:t xml:space="preserve">However, for scheduling flexibility and reduction of blocking probability, it makes sense to enhance the dropping rules for cases where search spaces have multiple monitoring locations in frequency. This issue is </w:t>
      </w:r>
      <w:r w:rsidR="00231637">
        <w:rPr>
          <w:rFonts w:ascii="Times New Roman" w:hAnsi="Times New Roman" w:cs="Times New Roman"/>
          <w:lang w:val="en-GB" w:eastAsia="zh-CN"/>
        </w:rPr>
        <w:t xml:space="preserve">further </w:t>
      </w:r>
      <w:r w:rsidR="00B11599">
        <w:rPr>
          <w:rFonts w:ascii="Times New Roman" w:hAnsi="Times New Roman" w:cs="Times New Roman"/>
          <w:lang w:val="en-GB" w:eastAsia="zh-CN"/>
        </w:rPr>
        <w:t>discussed in our companion contribution</w:t>
      </w:r>
      <w:r w:rsidR="00C87ACE">
        <w:rPr>
          <w:rFonts w:ascii="Times New Roman" w:hAnsi="Times New Roman" w:cs="Times New Roman"/>
          <w:lang w:val="en-GB" w:eastAsia="zh-CN"/>
        </w:rPr>
        <w:t xml:space="preserve"> </w:t>
      </w:r>
      <w:r w:rsidR="00B16176">
        <w:rPr>
          <w:rFonts w:ascii="Times New Roman" w:hAnsi="Times New Roman" w:cs="Times New Roman"/>
          <w:lang w:val="en-GB" w:eastAsia="zh-CN"/>
        </w:rPr>
        <w:fldChar w:fldCharType="begin"/>
      </w:r>
      <w:r w:rsidR="00B16176">
        <w:rPr>
          <w:rFonts w:ascii="Times New Roman" w:hAnsi="Times New Roman" w:cs="Times New Roman"/>
          <w:lang w:val="en-GB" w:eastAsia="zh-CN"/>
        </w:rPr>
        <w:instrText xml:space="preserve"> REF _Ref23860769 \r \h </w:instrText>
      </w:r>
      <w:r w:rsidR="00B16176">
        <w:rPr>
          <w:rFonts w:ascii="Times New Roman" w:hAnsi="Times New Roman" w:cs="Times New Roman"/>
          <w:lang w:val="en-GB" w:eastAsia="zh-CN"/>
        </w:rPr>
      </w:r>
      <w:r w:rsidR="00B16176">
        <w:rPr>
          <w:rFonts w:ascii="Times New Roman" w:hAnsi="Times New Roman" w:cs="Times New Roman"/>
          <w:lang w:val="en-GB" w:eastAsia="zh-CN"/>
        </w:rPr>
        <w:fldChar w:fldCharType="separate"/>
      </w:r>
      <w:r w:rsidR="00B16176">
        <w:rPr>
          <w:rFonts w:ascii="Times New Roman" w:hAnsi="Times New Roman" w:cs="Times New Roman"/>
          <w:lang w:val="en-GB" w:eastAsia="zh-CN"/>
        </w:rPr>
        <w:t>[5]</w:t>
      </w:r>
      <w:r w:rsidR="00B16176">
        <w:rPr>
          <w:rFonts w:ascii="Times New Roman" w:hAnsi="Times New Roman" w:cs="Times New Roman"/>
          <w:lang w:val="en-GB" w:eastAsia="zh-CN"/>
        </w:rPr>
        <w:fldChar w:fldCharType="end"/>
      </w:r>
      <w:r w:rsidR="00B16176">
        <w:rPr>
          <w:rFonts w:ascii="Times New Roman" w:hAnsi="Times New Roman" w:cs="Times New Roman"/>
          <w:lang w:val="en-GB" w:eastAsia="zh-CN"/>
        </w:rPr>
        <w:t>.</w:t>
      </w:r>
    </w:p>
    <w:p w14:paraId="3A0781AD" w14:textId="597AC6F4" w:rsidR="00231637" w:rsidRDefault="00231637" w:rsidP="00231637">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5C31DD">
        <w:rPr>
          <w:rFonts w:ascii="Times New Roman" w:hAnsi="Times New Roman"/>
          <w:sz w:val="22"/>
          <w:szCs w:val="22"/>
          <w:u w:val="single"/>
        </w:rPr>
        <w:t>4</w:t>
      </w:r>
      <w:r w:rsidRPr="00B1729E">
        <w:rPr>
          <w:rFonts w:ascii="Times New Roman" w:hAnsi="Times New Roman"/>
          <w:sz w:val="22"/>
          <w:szCs w:val="22"/>
          <w:u w:val="single"/>
        </w:rPr>
        <w:t>:</w:t>
      </w:r>
      <w:r w:rsidRPr="00B1729E">
        <w:rPr>
          <w:rFonts w:ascii="Times New Roman" w:hAnsi="Times New Roman"/>
          <w:sz w:val="22"/>
          <w:szCs w:val="22"/>
        </w:rPr>
        <w:tab/>
      </w:r>
      <w:r w:rsidR="00D75ED2">
        <w:rPr>
          <w:rFonts w:ascii="Times New Roman" w:hAnsi="Times New Roman"/>
          <w:b w:val="0"/>
          <w:i/>
          <w:sz w:val="22"/>
          <w:szCs w:val="22"/>
        </w:rPr>
        <w:t>Search space dropping rules are determined as a function of the set of acquired LBT subbands</w:t>
      </w:r>
      <w:r>
        <w:rPr>
          <w:rFonts w:ascii="Times New Roman" w:hAnsi="Times New Roman"/>
          <w:b w:val="0"/>
          <w:i/>
          <w:sz w:val="22"/>
          <w:szCs w:val="22"/>
        </w:rPr>
        <w:t>.</w:t>
      </w:r>
    </w:p>
    <w:p w14:paraId="7485DC9C" w14:textId="77777777" w:rsidR="00013130" w:rsidRPr="00B1729E" w:rsidRDefault="00013130" w:rsidP="00B1729E">
      <w:pPr>
        <w:pStyle w:val="Heading1"/>
        <w:jc w:val="both"/>
        <w:rPr>
          <w:rFonts w:ascii="Times New Roman" w:hAnsi="Times New Roman"/>
          <w:b/>
          <w:sz w:val="32"/>
          <w:szCs w:val="32"/>
        </w:rPr>
      </w:pPr>
      <w:r w:rsidRPr="00B1729E">
        <w:rPr>
          <w:rFonts w:ascii="Times New Roman" w:hAnsi="Times New Roman"/>
          <w:b/>
          <w:sz w:val="32"/>
          <w:szCs w:val="32"/>
        </w:rPr>
        <w:t>CSI-RS</w:t>
      </w:r>
    </w:p>
    <w:p w14:paraId="633FE826" w14:textId="52155120" w:rsidR="00D72E8E" w:rsidRDefault="00013130" w:rsidP="007047C1">
      <w:pPr>
        <w:spacing w:after="120"/>
        <w:jc w:val="both"/>
        <w:rPr>
          <w:rFonts w:ascii="Times New Roman" w:hAnsi="Times New Roman" w:cs="Times New Roman"/>
        </w:rPr>
      </w:pPr>
      <w:r w:rsidRPr="00B1729E">
        <w:rPr>
          <w:rFonts w:ascii="Times New Roman" w:hAnsi="Times New Roman" w:cs="Times New Roman"/>
          <w:lang w:val="en-GB"/>
        </w:rPr>
        <w:t>NR Release 15 supports aperiodic CSI-RS, semi-persistent CSI-RS and periodic CSI-RS and may be transmitted independently of a DL data transmission.</w:t>
      </w:r>
      <w:r w:rsidR="00D90E90">
        <w:rPr>
          <w:rFonts w:ascii="Times New Roman" w:hAnsi="Times New Roman" w:cs="Times New Roman"/>
          <w:b/>
          <w:lang w:val="en-GB"/>
        </w:rPr>
        <w:t xml:space="preserve"> </w:t>
      </w:r>
      <w:r w:rsidR="004B564B">
        <w:rPr>
          <w:rFonts w:ascii="Times New Roman" w:hAnsi="Times New Roman" w:cs="Times New Roman"/>
        </w:rPr>
        <w:t xml:space="preserve">To reduce signaling overhead it is beneficial to support periodic CSI-RS. </w:t>
      </w:r>
      <w:r w:rsidR="00D72E8E">
        <w:rPr>
          <w:rFonts w:ascii="Times New Roman" w:hAnsi="Times New Roman" w:cs="Times New Roman"/>
        </w:rPr>
        <w:t>For appropriate reporting of CSI based on periodic CSI-RS</w:t>
      </w:r>
      <w:r w:rsidR="005E0326">
        <w:rPr>
          <w:rFonts w:ascii="Times New Roman" w:hAnsi="Times New Roman" w:cs="Times New Roman"/>
        </w:rPr>
        <w:t>, measurement accuracy and RLM</w:t>
      </w:r>
      <w:r w:rsidR="00D72E8E">
        <w:rPr>
          <w:rFonts w:ascii="Times New Roman" w:hAnsi="Times New Roman" w:cs="Times New Roman"/>
        </w:rPr>
        <w:t>, the UE needs to be aware whether a CSI-RS was transmitted or not (e.g. due to failed LBT).</w:t>
      </w:r>
      <w:r w:rsidR="00811A36">
        <w:rPr>
          <w:rFonts w:ascii="Times New Roman" w:hAnsi="Times New Roman" w:cs="Times New Roman"/>
        </w:rPr>
        <w:t xml:space="preserve"> For </w:t>
      </w:r>
      <w:r w:rsidR="00D57484">
        <w:rPr>
          <w:rFonts w:ascii="Times New Roman" w:hAnsi="Times New Roman" w:cs="Times New Roman"/>
        </w:rPr>
        <w:t>example,</w:t>
      </w:r>
      <w:r w:rsidR="00811A36">
        <w:rPr>
          <w:rFonts w:ascii="Times New Roman" w:hAnsi="Times New Roman" w:cs="Times New Roman"/>
        </w:rPr>
        <w:t xml:space="preserve"> a UE being unaware that a CSI-RS was not transmitted may </w:t>
      </w:r>
      <w:r w:rsidR="008A1D96">
        <w:rPr>
          <w:rFonts w:ascii="Times New Roman" w:hAnsi="Times New Roman" w:cs="Times New Roman"/>
        </w:rPr>
        <w:t xml:space="preserve">incorrectly </w:t>
      </w:r>
      <w:r w:rsidR="00811A36">
        <w:rPr>
          <w:rFonts w:ascii="Times New Roman" w:hAnsi="Times New Roman" w:cs="Times New Roman"/>
        </w:rPr>
        <w:t>adjust its PL measurements, this may affect UL PC setting which can be detrimental to the whole system</w:t>
      </w:r>
      <w:r w:rsidR="008A1D96">
        <w:rPr>
          <w:rFonts w:ascii="Times New Roman" w:hAnsi="Times New Roman" w:cs="Times New Roman"/>
        </w:rPr>
        <w:t>.</w:t>
      </w:r>
      <w:r w:rsidR="00921221">
        <w:rPr>
          <w:rFonts w:ascii="Times New Roman" w:hAnsi="Times New Roman" w:cs="Times New Roman"/>
        </w:rPr>
        <w:t xml:space="preserve"> For CSI reporting, the UE should determine a</w:t>
      </w:r>
      <w:r w:rsidR="00770CB1">
        <w:rPr>
          <w:rFonts w:ascii="Times New Roman" w:hAnsi="Times New Roman" w:cs="Times New Roman"/>
        </w:rPr>
        <w:t xml:space="preserve"> valid</w:t>
      </w:r>
      <w:r w:rsidR="00921221">
        <w:rPr>
          <w:rFonts w:ascii="Times New Roman" w:hAnsi="Times New Roman" w:cs="Times New Roman"/>
        </w:rPr>
        <w:t xml:space="preserve"> reference s</w:t>
      </w:r>
      <w:r w:rsidR="00FD323C">
        <w:rPr>
          <w:rFonts w:ascii="Times New Roman" w:hAnsi="Times New Roman" w:cs="Times New Roman"/>
        </w:rPr>
        <w:t>lot</w:t>
      </w:r>
      <w:r w:rsidR="00770CB1">
        <w:rPr>
          <w:rFonts w:ascii="Times New Roman" w:hAnsi="Times New Roman" w:cs="Times New Roman"/>
        </w:rPr>
        <w:t xml:space="preserve"> </w:t>
      </w:r>
      <w:r w:rsidR="00641489">
        <w:rPr>
          <w:rFonts w:ascii="Times New Roman" w:hAnsi="Times New Roman" w:cs="Times New Roman"/>
        </w:rPr>
        <w:t>based on the timing of actually transmitted CSI-RS.</w:t>
      </w:r>
      <w:r w:rsidR="00A46162">
        <w:rPr>
          <w:rFonts w:ascii="Times New Roman" w:hAnsi="Times New Roman" w:cs="Times New Roman"/>
        </w:rPr>
        <w:t xml:space="preserve"> For example, a UE may be configured with a reference window for a CSI report and the UE may select a slot within the window where the CSI-RS was actually transmitted.</w:t>
      </w:r>
    </w:p>
    <w:p w14:paraId="0204A992" w14:textId="339D3D6F" w:rsidR="004B564B" w:rsidRDefault="00D72E8E" w:rsidP="00B1729E">
      <w:pPr>
        <w:jc w:val="both"/>
        <w:rPr>
          <w:rFonts w:ascii="Times New Roman" w:hAnsi="Times New Roman" w:cs="Times New Roman"/>
        </w:rPr>
      </w:pPr>
      <w:r>
        <w:rPr>
          <w:rFonts w:ascii="Times New Roman" w:hAnsi="Times New Roman" w:cs="Times New Roman"/>
        </w:rPr>
        <w:t xml:space="preserve">Furthermore, in some instances it may not be relevant for a UE to report measurements taken on a CSI-RS of a previous COT. Nevertheless, </w:t>
      </w:r>
      <w:r w:rsidR="006C1180">
        <w:rPr>
          <w:rFonts w:ascii="Times New Roman" w:hAnsi="Times New Roman" w:cs="Times New Roman"/>
        </w:rPr>
        <w:t xml:space="preserve">when relevant, </w:t>
      </w:r>
      <w:r>
        <w:rPr>
          <w:rFonts w:ascii="Times New Roman" w:hAnsi="Times New Roman" w:cs="Times New Roman"/>
        </w:rPr>
        <w:t>it may be possible for a measurement based on CSI-RS transmitted in a previous COT to be reported in a current COT. For example, if the time gap between two COTs is very small, the measurements may still be pertinent. Moreover, due to LBT requirements, there should not be a large variance in interference between two adjacent COTs, thus the measurements could still be applicable.</w:t>
      </w:r>
    </w:p>
    <w:p w14:paraId="507C725B" w14:textId="2D7DF1AE" w:rsidR="00D72E8E" w:rsidRDefault="00D72E8E" w:rsidP="00D72E8E">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5C31DD">
        <w:rPr>
          <w:rFonts w:ascii="Times New Roman" w:hAnsi="Times New Roman"/>
          <w:sz w:val="22"/>
          <w:szCs w:val="22"/>
          <w:u w:val="single"/>
        </w:rPr>
        <w:t>5</w:t>
      </w:r>
      <w:r w:rsidRPr="00B1729E">
        <w:rPr>
          <w:rFonts w:ascii="Times New Roman" w:hAnsi="Times New Roman"/>
          <w:sz w:val="22"/>
          <w:szCs w:val="22"/>
          <w:u w:val="single"/>
        </w:rPr>
        <w:t>:</w:t>
      </w:r>
      <w:r w:rsidRPr="00B1729E">
        <w:rPr>
          <w:rFonts w:ascii="Times New Roman" w:hAnsi="Times New Roman"/>
          <w:sz w:val="22"/>
          <w:szCs w:val="22"/>
        </w:rPr>
        <w:tab/>
      </w:r>
      <w:r w:rsidR="00153587">
        <w:rPr>
          <w:rFonts w:ascii="Times New Roman" w:hAnsi="Times New Roman"/>
          <w:b w:val="0"/>
          <w:i/>
          <w:sz w:val="22"/>
          <w:szCs w:val="22"/>
        </w:rPr>
        <w:t>A UE should be indicated when a CSI-RS transmission has failed due to LBT</w:t>
      </w:r>
      <w:r w:rsidRPr="00B1729E">
        <w:rPr>
          <w:rFonts w:ascii="Times New Roman" w:hAnsi="Times New Roman"/>
          <w:b w:val="0"/>
          <w:i/>
          <w:sz w:val="22"/>
          <w:szCs w:val="22"/>
        </w:rPr>
        <w:t>.</w:t>
      </w:r>
    </w:p>
    <w:p w14:paraId="65401DE7" w14:textId="53AD6BF6" w:rsidR="00C261BB" w:rsidRDefault="00C261BB" w:rsidP="00C261BB">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5C31DD">
        <w:rPr>
          <w:rFonts w:ascii="Times New Roman" w:hAnsi="Times New Roman"/>
          <w:sz w:val="22"/>
          <w:szCs w:val="22"/>
          <w:u w:val="single"/>
        </w:rPr>
        <w:t>6</w:t>
      </w:r>
      <w:r w:rsidRPr="00B1729E">
        <w:rPr>
          <w:rFonts w:ascii="Times New Roman" w:hAnsi="Times New Roman"/>
          <w:sz w:val="22"/>
          <w:szCs w:val="22"/>
          <w:u w:val="single"/>
        </w:rPr>
        <w:t>:</w:t>
      </w:r>
      <w:r w:rsidRPr="00B1729E">
        <w:rPr>
          <w:rFonts w:ascii="Times New Roman" w:hAnsi="Times New Roman"/>
          <w:sz w:val="22"/>
          <w:szCs w:val="22"/>
        </w:rPr>
        <w:tab/>
      </w:r>
      <w:r w:rsidR="0047081B">
        <w:rPr>
          <w:rFonts w:ascii="Times New Roman" w:hAnsi="Times New Roman"/>
          <w:b w:val="0"/>
          <w:i/>
          <w:sz w:val="22"/>
          <w:szCs w:val="22"/>
        </w:rPr>
        <w:t xml:space="preserve">A UE is configured with a reference window for a CSI report and selects a </w:t>
      </w:r>
      <w:r w:rsidR="00E55C1E">
        <w:rPr>
          <w:rFonts w:ascii="Times New Roman" w:hAnsi="Times New Roman"/>
          <w:b w:val="0"/>
          <w:i/>
          <w:sz w:val="22"/>
          <w:szCs w:val="22"/>
        </w:rPr>
        <w:t>reference slot within the window based on actually transmitted CSI-RS</w:t>
      </w:r>
      <w:r w:rsidRPr="00B1729E">
        <w:rPr>
          <w:rFonts w:ascii="Times New Roman" w:hAnsi="Times New Roman"/>
          <w:b w:val="0"/>
          <w:i/>
          <w:sz w:val="22"/>
          <w:szCs w:val="22"/>
        </w:rPr>
        <w:t>.</w:t>
      </w:r>
    </w:p>
    <w:p w14:paraId="2B83057E" w14:textId="3F13AEB5" w:rsidR="00153587" w:rsidRDefault="00153587" w:rsidP="00153587">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sidR="005C31DD">
        <w:rPr>
          <w:rFonts w:ascii="Times New Roman" w:hAnsi="Times New Roman"/>
          <w:sz w:val="22"/>
          <w:szCs w:val="22"/>
          <w:u w:val="single"/>
        </w:rPr>
        <w:t>7</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report CSI in a COT based on measurements performed on CSI-RS resources received in a previous COT.</w:t>
      </w:r>
    </w:p>
    <w:p w14:paraId="4A7E29B5" w14:textId="0840DBAF" w:rsidR="00D72E8E" w:rsidRPr="007047C1" w:rsidRDefault="00D72E8E" w:rsidP="00B1729E">
      <w:pPr>
        <w:jc w:val="both"/>
        <w:rPr>
          <w:rFonts w:ascii="Times New Roman" w:hAnsi="Times New Roman" w:cs="Times New Roman"/>
        </w:rPr>
      </w:pPr>
    </w:p>
    <w:p w14:paraId="596E93DF" w14:textId="4893F5BD" w:rsidR="00821C42" w:rsidRPr="00B1729E" w:rsidRDefault="00BF17FD" w:rsidP="00B1729E">
      <w:pPr>
        <w:pStyle w:val="Heading1"/>
        <w:pBdr>
          <w:top w:val="single" w:sz="12" w:space="5" w:color="auto"/>
        </w:pBdr>
        <w:spacing w:after="120"/>
        <w:jc w:val="both"/>
        <w:rPr>
          <w:rFonts w:ascii="Times New Roman" w:hAnsi="Times New Roman"/>
          <w:b/>
          <w:sz w:val="32"/>
          <w:lang w:val="en-US"/>
        </w:rPr>
      </w:pPr>
      <w:r w:rsidRPr="00B1729E">
        <w:rPr>
          <w:rFonts w:ascii="Times New Roman" w:hAnsi="Times New Roman"/>
          <w:b/>
          <w:sz w:val="32"/>
          <w:lang w:val="en-US"/>
        </w:rPr>
        <w:t>Summary</w:t>
      </w:r>
    </w:p>
    <w:p w14:paraId="56ECE4A0" w14:textId="4CF16C9B" w:rsidR="00CF5F8C" w:rsidRDefault="003242DD" w:rsidP="0000568D">
      <w:pPr>
        <w:spacing w:after="120"/>
        <w:jc w:val="both"/>
        <w:rPr>
          <w:rFonts w:ascii="Times New Roman" w:hAnsi="Times New Roman" w:cs="Times New Roman"/>
        </w:rPr>
      </w:pPr>
      <w:r w:rsidRPr="00B1729E">
        <w:rPr>
          <w:rFonts w:ascii="Times New Roman" w:hAnsi="Times New Roman" w:cs="Times New Roman"/>
        </w:rPr>
        <w:t>This contribution discussed</w:t>
      </w:r>
      <w:r w:rsidR="0080034A" w:rsidRPr="00B1729E">
        <w:rPr>
          <w:rFonts w:ascii="Times New Roman" w:hAnsi="Times New Roman" w:cs="Times New Roman"/>
        </w:rPr>
        <w:t xml:space="preserve"> some details regarding the </w:t>
      </w:r>
      <w:r w:rsidR="0042719C" w:rsidRPr="00B1729E">
        <w:rPr>
          <w:rFonts w:ascii="Times New Roman" w:hAnsi="Times New Roman" w:cs="Times New Roman"/>
        </w:rPr>
        <w:t xml:space="preserve">DL channels for </w:t>
      </w:r>
      <w:r w:rsidR="0080034A" w:rsidRPr="00B1729E">
        <w:rPr>
          <w:rFonts w:ascii="Times New Roman" w:hAnsi="Times New Roman" w:cs="Times New Roman"/>
        </w:rPr>
        <w:t>NR-Unlicensed</w:t>
      </w:r>
      <w:r w:rsidR="0042719C" w:rsidRPr="00B1729E">
        <w:rPr>
          <w:rFonts w:ascii="Times New Roman" w:hAnsi="Times New Roman" w:cs="Times New Roman"/>
        </w:rPr>
        <w:t>.</w:t>
      </w:r>
      <w:r w:rsidR="0080034A" w:rsidRPr="00B1729E">
        <w:rPr>
          <w:rFonts w:ascii="Times New Roman" w:hAnsi="Times New Roman" w:cs="Times New Roman"/>
        </w:rPr>
        <w:t xml:space="preserve"> In the following, </w:t>
      </w:r>
      <w:r w:rsidR="0042719C" w:rsidRPr="00B1729E">
        <w:rPr>
          <w:rFonts w:ascii="Times New Roman" w:hAnsi="Times New Roman" w:cs="Times New Roman"/>
        </w:rPr>
        <w:t xml:space="preserve">the </w:t>
      </w:r>
      <w:r w:rsidR="0080034A" w:rsidRPr="00B1729E">
        <w:rPr>
          <w:rFonts w:ascii="Times New Roman" w:hAnsi="Times New Roman" w:cs="Times New Roman"/>
        </w:rPr>
        <w:t>discussed proposals are listed:</w:t>
      </w:r>
    </w:p>
    <w:p w14:paraId="7CDC5191"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1</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The COT duration bitfield should encode the remaining time duration of the COT.</w:t>
      </w:r>
    </w:p>
    <w:p w14:paraId="2B321D51"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2</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be configured to simultaneously support implicit (Alt 1) and explicit (Alt. 2) switching between groups of search space sets.</w:t>
      </w:r>
    </w:p>
    <w:p w14:paraId="3C9B66CC"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3</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be provided with more than two groups of search space sets for PDCCH at least for wideband operation. The UE selects the applicable group based on the set of acquired LBT subbands of a COT.</w:t>
      </w:r>
    </w:p>
    <w:p w14:paraId="30C366B1"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4</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Search space dropping rules are determined as a function of the set of acquired LBT subbands.</w:t>
      </w:r>
    </w:p>
    <w:p w14:paraId="5347722F"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lastRenderedPageBreak/>
        <w:t xml:space="preserve">Proposal </w:t>
      </w:r>
      <w:r>
        <w:rPr>
          <w:rFonts w:ascii="Times New Roman" w:hAnsi="Times New Roman"/>
          <w:sz w:val="22"/>
          <w:szCs w:val="22"/>
          <w:u w:val="single"/>
        </w:rPr>
        <w:t>5</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should be indicated when a CSI-RS transmission has failed due to LBT</w:t>
      </w:r>
      <w:r w:rsidRPr="00B1729E">
        <w:rPr>
          <w:rFonts w:ascii="Times New Roman" w:hAnsi="Times New Roman"/>
          <w:b w:val="0"/>
          <w:i/>
          <w:sz w:val="22"/>
          <w:szCs w:val="22"/>
        </w:rPr>
        <w:t>.</w:t>
      </w:r>
    </w:p>
    <w:p w14:paraId="76F465C3"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6</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is configured with a reference window for a CSI report and selects a reference slot within the window based on actually transmitted CSI-RS</w:t>
      </w:r>
      <w:r w:rsidRPr="00B1729E">
        <w:rPr>
          <w:rFonts w:ascii="Times New Roman" w:hAnsi="Times New Roman"/>
          <w:b w:val="0"/>
          <w:i/>
          <w:sz w:val="22"/>
          <w:szCs w:val="22"/>
        </w:rPr>
        <w:t>.</w:t>
      </w:r>
    </w:p>
    <w:p w14:paraId="18F0F13D" w14:textId="77777777" w:rsidR="005C31DD" w:rsidRDefault="005C31DD" w:rsidP="005C31DD">
      <w:pPr>
        <w:pStyle w:val="Observation"/>
        <w:numPr>
          <w:ilvl w:val="0"/>
          <w:numId w:val="0"/>
        </w:numPr>
        <w:tabs>
          <w:tab w:val="clear" w:pos="1701"/>
        </w:tabs>
        <w:ind w:left="1701" w:hanging="1701"/>
        <w:rPr>
          <w:rFonts w:ascii="Times New Roman" w:hAnsi="Times New Roman"/>
          <w:b w:val="0"/>
          <w:i/>
          <w:sz w:val="22"/>
          <w:szCs w:val="22"/>
        </w:rPr>
      </w:pPr>
      <w:r w:rsidRPr="00B1729E">
        <w:rPr>
          <w:rFonts w:ascii="Times New Roman" w:hAnsi="Times New Roman"/>
          <w:sz w:val="22"/>
          <w:szCs w:val="22"/>
          <w:u w:val="single"/>
        </w:rPr>
        <w:t xml:space="preserve">Proposal </w:t>
      </w:r>
      <w:r>
        <w:rPr>
          <w:rFonts w:ascii="Times New Roman" w:hAnsi="Times New Roman"/>
          <w:sz w:val="22"/>
          <w:szCs w:val="22"/>
          <w:u w:val="single"/>
        </w:rPr>
        <w:t>7</w:t>
      </w:r>
      <w:r w:rsidRPr="00B1729E">
        <w:rPr>
          <w:rFonts w:ascii="Times New Roman" w:hAnsi="Times New Roman"/>
          <w:sz w:val="22"/>
          <w:szCs w:val="22"/>
          <w:u w:val="single"/>
        </w:rPr>
        <w:t>:</w:t>
      </w:r>
      <w:r w:rsidRPr="00B1729E">
        <w:rPr>
          <w:rFonts w:ascii="Times New Roman" w:hAnsi="Times New Roman"/>
          <w:sz w:val="22"/>
          <w:szCs w:val="22"/>
        </w:rPr>
        <w:tab/>
      </w:r>
      <w:r>
        <w:rPr>
          <w:rFonts w:ascii="Times New Roman" w:hAnsi="Times New Roman"/>
          <w:b w:val="0"/>
          <w:i/>
          <w:sz w:val="22"/>
          <w:szCs w:val="22"/>
        </w:rPr>
        <w:t>A UE can report CSI in a COT based on measurements performed on CSI-RS resources received in a previous COT.</w:t>
      </w:r>
    </w:p>
    <w:p w14:paraId="4D12EF64" w14:textId="77777777" w:rsidR="004567BF" w:rsidRPr="008562EE" w:rsidRDefault="004567BF" w:rsidP="004567BF">
      <w:pPr>
        <w:jc w:val="both"/>
        <w:rPr>
          <w:rFonts w:ascii="Times New Roman" w:hAnsi="Times New Roman" w:cs="Times New Roman"/>
          <w:color w:val="FF0000"/>
          <w:lang w:val="en-GB"/>
        </w:rPr>
      </w:pPr>
    </w:p>
    <w:p w14:paraId="0EF7466D" w14:textId="77777777" w:rsidR="00251B4A" w:rsidRPr="00B1729E" w:rsidRDefault="00251B4A" w:rsidP="00B1729E">
      <w:pPr>
        <w:pStyle w:val="Heading1"/>
        <w:jc w:val="both"/>
        <w:rPr>
          <w:rFonts w:ascii="Times New Roman" w:hAnsi="Times New Roman"/>
          <w:b/>
          <w:sz w:val="32"/>
          <w:lang w:val="en-US"/>
        </w:rPr>
      </w:pPr>
      <w:r w:rsidRPr="00B1729E">
        <w:rPr>
          <w:rFonts w:ascii="Times New Roman" w:hAnsi="Times New Roman"/>
          <w:b/>
          <w:sz w:val="32"/>
          <w:lang w:val="en-US"/>
        </w:rPr>
        <w:t>References</w:t>
      </w:r>
    </w:p>
    <w:p w14:paraId="6072AED8" w14:textId="41B2A54E" w:rsidR="007A1C92" w:rsidRDefault="007A1C92"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bookmarkStart w:id="2" w:name="_Ref16686956"/>
      <w:bookmarkStart w:id="3" w:name="_Ref1117489"/>
      <w:bookmarkStart w:id="4" w:name="_Ref513201801"/>
      <w:bookmarkStart w:id="5" w:name="_Ref174151459"/>
      <w:bookmarkStart w:id="6" w:name="_Ref189809556"/>
      <w:bookmarkStart w:id="7" w:name="_Ref510687332"/>
      <w:bookmarkStart w:id="8" w:name="_Ref4506340"/>
      <w:bookmarkStart w:id="9" w:name="_Ref4666433"/>
      <w:r w:rsidRPr="005E23B8">
        <w:rPr>
          <w:rFonts w:ascii="Times New Roman" w:hAnsi="Times New Roman"/>
        </w:rPr>
        <w:t>RP-191581 Guidance on essential functionality for NR-U; Qualcomm</w:t>
      </w:r>
      <w:bookmarkEnd w:id="2"/>
    </w:p>
    <w:p w14:paraId="5265F449" w14:textId="4997D27C" w:rsidR="00D2530F" w:rsidRPr="00B1729E" w:rsidRDefault="00D2530F"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r w:rsidRPr="00B1729E">
        <w:rPr>
          <w:rFonts w:ascii="Times New Roman" w:hAnsi="Times New Roman" w:cs="Times New Roman"/>
        </w:rPr>
        <w:t>RP-190706 Revised WID on NR-based Access to Unlicensed Spectrum; Qualcomm.</w:t>
      </w:r>
    </w:p>
    <w:p w14:paraId="7EC5B0BA" w14:textId="0D431684" w:rsidR="00D2530F" w:rsidRPr="00B1729E" w:rsidRDefault="00D2530F"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bookmarkStart w:id="10" w:name="_Ref16686996"/>
      <w:r w:rsidRPr="00B1729E">
        <w:rPr>
          <w:rFonts w:ascii="Times New Roman" w:hAnsi="Times New Roman" w:cs="Times New Roman"/>
        </w:rPr>
        <w:t>R1-1903687 Feature lead summary for NR-U DL Signals and Channels; Motorola Mobility, Lenovo</w:t>
      </w:r>
      <w:bookmarkEnd w:id="10"/>
    </w:p>
    <w:bookmarkEnd w:id="3"/>
    <w:bookmarkEnd w:id="4"/>
    <w:bookmarkEnd w:id="5"/>
    <w:bookmarkEnd w:id="6"/>
    <w:bookmarkEnd w:id="7"/>
    <w:bookmarkEnd w:id="8"/>
    <w:p w14:paraId="068570B7" w14:textId="32881AAF" w:rsidR="00D2530F" w:rsidRDefault="00D2530F"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r w:rsidRPr="00B1729E">
        <w:rPr>
          <w:rFonts w:ascii="Times New Roman" w:hAnsi="Times New Roman" w:cs="Times New Roman"/>
        </w:rPr>
        <w:t>R1-</w:t>
      </w:r>
      <w:r w:rsidR="00906D24" w:rsidRPr="00B1729E">
        <w:rPr>
          <w:rFonts w:ascii="Times New Roman" w:hAnsi="Times New Roman" w:cs="Times New Roman"/>
        </w:rPr>
        <w:t>19</w:t>
      </w:r>
      <w:r w:rsidR="00031C94">
        <w:rPr>
          <w:rFonts w:ascii="Times New Roman" w:hAnsi="Times New Roman" w:cs="Times New Roman"/>
        </w:rPr>
        <w:t>11261</w:t>
      </w:r>
      <w:r w:rsidR="00906D24" w:rsidRPr="00B1729E">
        <w:rPr>
          <w:rFonts w:ascii="Times New Roman" w:hAnsi="Times New Roman" w:cs="Times New Roman"/>
        </w:rPr>
        <w:t xml:space="preserve"> </w:t>
      </w:r>
      <w:r w:rsidRPr="00B1729E">
        <w:rPr>
          <w:rFonts w:ascii="Times New Roman" w:hAnsi="Times New Roman" w:cs="Times New Roman"/>
        </w:rPr>
        <w:t>Feature lead summary for NR-U DL Signals and Channels; Motorola Mobility, Lenovo</w:t>
      </w:r>
    </w:p>
    <w:p w14:paraId="60E6CE81" w14:textId="60A327EE" w:rsidR="00B11599" w:rsidRPr="00B1729E" w:rsidRDefault="00DE5685" w:rsidP="00B1729E">
      <w:pPr>
        <w:pStyle w:val="Reference"/>
        <w:numPr>
          <w:ilvl w:val="0"/>
          <w:numId w:val="15"/>
        </w:numPr>
        <w:overflowPunct w:val="0"/>
        <w:autoSpaceDE w:val="0"/>
        <w:autoSpaceDN w:val="0"/>
        <w:adjustRightInd w:val="0"/>
        <w:spacing w:after="60"/>
        <w:jc w:val="both"/>
        <w:textAlignment w:val="baseline"/>
        <w:rPr>
          <w:rFonts w:ascii="Times New Roman" w:hAnsi="Times New Roman" w:cs="Times New Roman"/>
        </w:rPr>
      </w:pPr>
      <w:bookmarkStart w:id="11" w:name="_Ref23860769"/>
      <w:r>
        <w:rPr>
          <w:rFonts w:ascii="Times New Roman" w:hAnsi="Times New Roman" w:cs="Times New Roman"/>
        </w:rPr>
        <w:t>R1-191</w:t>
      </w:r>
      <w:r w:rsidR="00D821CA">
        <w:rPr>
          <w:rFonts w:ascii="Times New Roman" w:hAnsi="Times New Roman" w:cs="Times New Roman"/>
        </w:rPr>
        <w:t>2700</w:t>
      </w:r>
      <w:r>
        <w:rPr>
          <w:rFonts w:ascii="Times New Roman" w:hAnsi="Times New Roman" w:cs="Times New Roman"/>
        </w:rPr>
        <w:t xml:space="preserve">, </w:t>
      </w:r>
      <w:r w:rsidR="00C87ACE">
        <w:rPr>
          <w:rFonts w:ascii="Times New Roman" w:hAnsi="Times New Roman" w:cs="Times New Roman"/>
        </w:rPr>
        <w:t>NR-U Wideband operation, InterDigital Inc.</w:t>
      </w:r>
      <w:bookmarkEnd w:id="11"/>
    </w:p>
    <w:bookmarkEnd w:id="9"/>
    <w:p w14:paraId="55318E43" w14:textId="77777777" w:rsidR="00B70F94" w:rsidRPr="00B1729E" w:rsidRDefault="00B70F94" w:rsidP="00B1729E">
      <w:pPr>
        <w:pStyle w:val="Reference"/>
        <w:numPr>
          <w:ilvl w:val="0"/>
          <w:numId w:val="0"/>
        </w:numPr>
        <w:jc w:val="both"/>
        <w:rPr>
          <w:rFonts w:ascii="Times New Roman" w:hAnsi="Times New Roman" w:cs="Times New Roman"/>
        </w:rPr>
      </w:pPr>
    </w:p>
    <w:sectPr w:rsidR="00B70F94" w:rsidRPr="00B1729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9B29D" w14:textId="77777777" w:rsidR="0021769B" w:rsidRDefault="0021769B">
      <w:r>
        <w:separator/>
      </w:r>
    </w:p>
  </w:endnote>
  <w:endnote w:type="continuationSeparator" w:id="0">
    <w:p w14:paraId="6453612E" w14:textId="77777777" w:rsidR="0021769B" w:rsidRDefault="0021769B">
      <w:r>
        <w:continuationSeparator/>
      </w:r>
    </w:p>
  </w:endnote>
  <w:endnote w:type="continuationNotice" w:id="1">
    <w:p w14:paraId="17FCC3B1" w14:textId="77777777" w:rsidR="0021769B" w:rsidRDefault="00217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26043" w14:textId="77777777" w:rsidR="0021769B" w:rsidRDefault="0021769B">
      <w:r>
        <w:separator/>
      </w:r>
    </w:p>
  </w:footnote>
  <w:footnote w:type="continuationSeparator" w:id="0">
    <w:p w14:paraId="58655963" w14:textId="77777777" w:rsidR="0021769B" w:rsidRDefault="0021769B">
      <w:r>
        <w:continuationSeparator/>
      </w:r>
    </w:p>
  </w:footnote>
  <w:footnote w:type="continuationNotice" w:id="1">
    <w:p w14:paraId="316DC528" w14:textId="77777777" w:rsidR="0021769B" w:rsidRDefault="002176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46661F"/>
    <w:multiLevelType w:val="hybridMultilevel"/>
    <w:tmpl w:val="13DC473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0B03BC6"/>
    <w:multiLevelType w:val="hybridMultilevel"/>
    <w:tmpl w:val="7F461994"/>
    <w:lvl w:ilvl="0" w:tplc="83AA79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45E01"/>
    <w:multiLevelType w:val="hybridMultilevel"/>
    <w:tmpl w:val="F2DEC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9"/>
  </w:num>
  <w:num w:numId="5">
    <w:abstractNumId w:val="4"/>
  </w:num>
  <w:num w:numId="6">
    <w:abstractNumId w:val="10"/>
  </w:num>
  <w:num w:numId="7">
    <w:abstractNumId w:val="15"/>
  </w:num>
  <w:num w:numId="8">
    <w:abstractNumId w:val="5"/>
  </w:num>
  <w:num w:numId="9">
    <w:abstractNumId w:val="17"/>
  </w:num>
  <w:num w:numId="10">
    <w:abstractNumId w:val="3"/>
  </w:num>
  <w:num w:numId="11">
    <w:abstractNumId w:val="6"/>
  </w:num>
  <w:num w:numId="12">
    <w:abstractNumId w:val="8"/>
  </w:num>
  <w:num w:numId="13">
    <w:abstractNumId w:val="14"/>
  </w:num>
  <w:num w:numId="14">
    <w:abstractNumId w:val="16"/>
  </w:num>
  <w:num w:numId="15">
    <w:abstractNumId w:val="1"/>
  </w:num>
  <w:num w:numId="16">
    <w:abstractNumId w:val="13"/>
  </w:num>
  <w:num w:numId="17">
    <w:abstractNumId w:val="2"/>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B4D"/>
    <w:rsid w:val="0000168C"/>
    <w:rsid w:val="00002BC4"/>
    <w:rsid w:val="00002F99"/>
    <w:rsid w:val="0000325C"/>
    <w:rsid w:val="00003E50"/>
    <w:rsid w:val="00003EC3"/>
    <w:rsid w:val="00004C2D"/>
    <w:rsid w:val="00005012"/>
    <w:rsid w:val="0000568D"/>
    <w:rsid w:val="00006446"/>
    <w:rsid w:val="00006896"/>
    <w:rsid w:val="00007CDC"/>
    <w:rsid w:val="000104C6"/>
    <w:rsid w:val="000110C9"/>
    <w:rsid w:val="00011B28"/>
    <w:rsid w:val="00011EE8"/>
    <w:rsid w:val="00012B9F"/>
    <w:rsid w:val="00012C16"/>
    <w:rsid w:val="00013130"/>
    <w:rsid w:val="00014768"/>
    <w:rsid w:val="000153E9"/>
    <w:rsid w:val="00015D15"/>
    <w:rsid w:val="0001611C"/>
    <w:rsid w:val="0001694D"/>
    <w:rsid w:val="0001795F"/>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1C94"/>
    <w:rsid w:val="000325B8"/>
    <w:rsid w:val="00033351"/>
    <w:rsid w:val="0003410A"/>
    <w:rsid w:val="00034C15"/>
    <w:rsid w:val="00035EA8"/>
    <w:rsid w:val="00035F74"/>
    <w:rsid w:val="00036BA1"/>
    <w:rsid w:val="000373FE"/>
    <w:rsid w:val="0003792E"/>
    <w:rsid w:val="000405A0"/>
    <w:rsid w:val="00040B78"/>
    <w:rsid w:val="0004149C"/>
    <w:rsid w:val="000422E2"/>
    <w:rsid w:val="00042BE0"/>
    <w:rsid w:val="00042F22"/>
    <w:rsid w:val="000437FA"/>
    <w:rsid w:val="00043DDF"/>
    <w:rsid w:val="00044278"/>
    <w:rsid w:val="000444EF"/>
    <w:rsid w:val="00044A9C"/>
    <w:rsid w:val="000452A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DF1"/>
    <w:rsid w:val="00055E34"/>
    <w:rsid w:val="0005606A"/>
    <w:rsid w:val="0005619B"/>
    <w:rsid w:val="00056718"/>
    <w:rsid w:val="00056A67"/>
    <w:rsid w:val="00056F02"/>
    <w:rsid w:val="00056FD0"/>
    <w:rsid w:val="00057117"/>
    <w:rsid w:val="000571B8"/>
    <w:rsid w:val="00057511"/>
    <w:rsid w:val="0005757D"/>
    <w:rsid w:val="000575ED"/>
    <w:rsid w:val="00057B3B"/>
    <w:rsid w:val="000604D2"/>
    <w:rsid w:val="00060AAA"/>
    <w:rsid w:val="000616E7"/>
    <w:rsid w:val="00061829"/>
    <w:rsid w:val="0006232B"/>
    <w:rsid w:val="000625C8"/>
    <w:rsid w:val="00063AC3"/>
    <w:rsid w:val="00063EF3"/>
    <w:rsid w:val="00064138"/>
    <w:rsid w:val="000641AA"/>
    <w:rsid w:val="000645B8"/>
    <w:rsid w:val="0006487E"/>
    <w:rsid w:val="00065243"/>
    <w:rsid w:val="00065E1A"/>
    <w:rsid w:val="00065F7E"/>
    <w:rsid w:val="000660DE"/>
    <w:rsid w:val="00070074"/>
    <w:rsid w:val="00070D25"/>
    <w:rsid w:val="00071225"/>
    <w:rsid w:val="00071495"/>
    <w:rsid w:val="000715A7"/>
    <w:rsid w:val="00071DCA"/>
    <w:rsid w:val="000725A0"/>
    <w:rsid w:val="000729D7"/>
    <w:rsid w:val="00072B05"/>
    <w:rsid w:val="0007415D"/>
    <w:rsid w:val="00074854"/>
    <w:rsid w:val="00074F35"/>
    <w:rsid w:val="00075131"/>
    <w:rsid w:val="00075BF1"/>
    <w:rsid w:val="0007627A"/>
    <w:rsid w:val="0007787A"/>
    <w:rsid w:val="00077A1C"/>
    <w:rsid w:val="00077C5D"/>
    <w:rsid w:val="00077CF3"/>
    <w:rsid w:val="00077E5F"/>
    <w:rsid w:val="0008004D"/>
    <w:rsid w:val="00080281"/>
    <w:rsid w:val="0008036A"/>
    <w:rsid w:val="00080830"/>
    <w:rsid w:val="00081AE6"/>
    <w:rsid w:val="00082135"/>
    <w:rsid w:val="00083BE4"/>
    <w:rsid w:val="00083CD9"/>
    <w:rsid w:val="000854F9"/>
    <w:rsid w:val="00085543"/>
    <w:rsid w:val="000855EB"/>
    <w:rsid w:val="00085A01"/>
    <w:rsid w:val="00085B52"/>
    <w:rsid w:val="00085E11"/>
    <w:rsid w:val="000862B6"/>
    <w:rsid w:val="000866F2"/>
    <w:rsid w:val="00086A43"/>
    <w:rsid w:val="00086EBA"/>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71E"/>
    <w:rsid w:val="00096833"/>
    <w:rsid w:val="00096A7E"/>
    <w:rsid w:val="00096C23"/>
    <w:rsid w:val="00097774"/>
    <w:rsid w:val="000A0028"/>
    <w:rsid w:val="000A0276"/>
    <w:rsid w:val="000A1B7B"/>
    <w:rsid w:val="000A22F2"/>
    <w:rsid w:val="000A2522"/>
    <w:rsid w:val="000A2538"/>
    <w:rsid w:val="000A2B68"/>
    <w:rsid w:val="000A3063"/>
    <w:rsid w:val="000A447B"/>
    <w:rsid w:val="000A56F2"/>
    <w:rsid w:val="000A7DC3"/>
    <w:rsid w:val="000B0223"/>
    <w:rsid w:val="000B02A2"/>
    <w:rsid w:val="000B0640"/>
    <w:rsid w:val="000B0A01"/>
    <w:rsid w:val="000B0BE7"/>
    <w:rsid w:val="000B254C"/>
    <w:rsid w:val="000B2719"/>
    <w:rsid w:val="000B2E69"/>
    <w:rsid w:val="000B3347"/>
    <w:rsid w:val="000B3516"/>
    <w:rsid w:val="000B3A8F"/>
    <w:rsid w:val="000B4AB9"/>
    <w:rsid w:val="000B516D"/>
    <w:rsid w:val="000B58C3"/>
    <w:rsid w:val="000B5E2E"/>
    <w:rsid w:val="000B61E9"/>
    <w:rsid w:val="000B64DA"/>
    <w:rsid w:val="000B6BB9"/>
    <w:rsid w:val="000B730C"/>
    <w:rsid w:val="000B7771"/>
    <w:rsid w:val="000B781C"/>
    <w:rsid w:val="000C0E2E"/>
    <w:rsid w:val="000C14A2"/>
    <w:rsid w:val="000C165A"/>
    <w:rsid w:val="000C1E19"/>
    <w:rsid w:val="000C2365"/>
    <w:rsid w:val="000C2C1D"/>
    <w:rsid w:val="000C2CD0"/>
    <w:rsid w:val="000C2E19"/>
    <w:rsid w:val="000C3794"/>
    <w:rsid w:val="000C4ADA"/>
    <w:rsid w:val="000C501B"/>
    <w:rsid w:val="000C50FA"/>
    <w:rsid w:val="000C64E6"/>
    <w:rsid w:val="000C6F9D"/>
    <w:rsid w:val="000D0D07"/>
    <w:rsid w:val="000D162D"/>
    <w:rsid w:val="000D2F63"/>
    <w:rsid w:val="000D2FCF"/>
    <w:rsid w:val="000D4797"/>
    <w:rsid w:val="000D4D63"/>
    <w:rsid w:val="000D51D9"/>
    <w:rsid w:val="000D57A7"/>
    <w:rsid w:val="000D5C17"/>
    <w:rsid w:val="000E0527"/>
    <w:rsid w:val="000E0669"/>
    <w:rsid w:val="000E18EA"/>
    <w:rsid w:val="000E1E92"/>
    <w:rsid w:val="000E20F9"/>
    <w:rsid w:val="000E22A6"/>
    <w:rsid w:val="000E23FF"/>
    <w:rsid w:val="000E371D"/>
    <w:rsid w:val="000E38DD"/>
    <w:rsid w:val="000E43AB"/>
    <w:rsid w:val="000E5324"/>
    <w:rsid w:val="000E5BBB"/>
    <w:rsid w:val="000E5EBB"/>
    <w:rsid w:val="000E66EF"/>
    <w:rsid w:val="000E6C65"/>
    <w:rsid w:val="000E6F04"/>
    <w:rsid w:val="000E700D"/>
    <w:rsid w:val="000E7644"/>
    <w:rsid w:val="000E78E3"/>
    <w:rsid w:val="000F06D6"/>
    <w:rsid w:val="000F0709"/>
    <w:rsid w:val="000F0A47"/>
    <w:rsid w:val="000F0EB1"/>
    <w:rsid w:val="000F1106"/>
    <w:rsid w:val="000F1141"/>
    <w:rsid w:val="000F184F"/>
    <w:rsid w:val="000F1854"/>
    <w:rsid w:val="000F1AE1"/>
    <w:rsid w:val="000F2BFC"/>
    <w:rsid w:val="000F3BE9"/>
    <w:rsid w:val="000F3F6C"/>
    <w:rsid w:val="000F4ED8"/>
    <w:rsid w:val="000F4F9E"/>
    <w:rsid w:val="000F5397"/>
    <w:rsid w:val="000F557E"/>
    <w:rsid w:val="000F5AB7"/>
    <w:rsid w:val="000F5C5F"/>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A4C"/>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F0E"/>
    <w:rsid w:val="001211A2"/>
    <w:rsid w:val="001211AC"/>
    <w:rsid w:val="0012189E"/>
    <w:rsid w:val="001218CE"/>
    <w:rsid w:val="001219F5"/>
    <w:rsid w:val="00121A20"/>
    <w:rsid w:val="00121D09"/>
    <w:rsid w:val="001232FD"/>
    <w:rsid w:val="00123CA8"/>
    <w:rsid w:val="00123D2C"/>
    <w:rsid w:val="001248FC"/>
    <w:rsid w:val="00125448"/>
    <w:rsid w:val="00125672"/>
    <w:rsid w:val="00125B92"/>
    <w:rsid w:val="00125D8C"/>
    <w:rsid w:val="00125FDB"/>
    <w:rsid w:val="00126305"/>
    <w:rsid w:val="00126B4A"/>
    <w:rsid w:val="001278AF"/>
    <w:rsid w:val="00127D88"/>
    <w:rsid w:val="0013177F"/>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9C9"/>
    <w:rsid w:val="00137AB5"/>
    <w:rsid w:val="00137F0B"/>
    <w:rsid w:val="001409CF"/>
    <w:rsid w:val="00141601"/>
    <w:rsid w:val="00141990"/>
    <w:rsid w:val="00141A18"/>
    <w:rsid w:val="00141BE7"/>
    <w:rsid w:val="001420DF"/>
    <w:rsid w:val="001425FB"/>
    <w:rsid w:val="00142ADE"/>
    <w:rsid w:val="001430CC"/>
    <w:rsid w:val="00143127"/>
    <w:rsid w:val="00143140"/>
    <w:rsid w:val="00143E76"/>
    <w:rsid w:val="001440F0"/>
    <w:rsid w:val="001445CE"/>
    <w:rsid w:val="00144726"/>
    <w:rsid w:val="001447B7"/>
    <w:rsid w:val="00145B01"/>
    <w:rsid w:val="00146904"/>
    <w:rsid w:val="00146964"/>
    <w:rsid w:val="00146989"/>
    <w:rsid w:val="00147BDE"/>
    <w:rsid w:val="001504F9"/>
    <w:rsid w:val="001506B3"/>
    <w:rsid w:val="00150C1E"/>
    <w:rsid w:val="001510DF"/>
    <w:rsid w:val="0015190F"/>
    <w:rsid w:val="00151E23"/>
    <w:rsid w:val="001523B7"/>
    <w:rsid w:val="001526E0"/>
    <w:rsid w:val="00153587"/>
    <w:rsid w:val="00153B76"/>
    <w:rsid w:val="00154220"/>
    <w:rsid w:val="001549FC"/>
    <w:rsid w:val="001551B5"/>
    <w:rsid w:val="00156117"/>
    <w:rsid w:val="00156DC4"/>
    <w:rsid w:val="00157A90"/>
    <w:rsid w:val="00157B7B"/>
    <w:rsid w:val="00157F10"/>
    <w:rsid w:val="00160461"/>
    <w:rsid w:val="00162135"/>
    <w:rsid w:val="001629FC"/>
    <w:rsid w:val="00162BD1"/>
    <w:rsid w:val="00163554"/>
    <w:rsid w:val="00163FBD"/>
    <w:rsid w:val="0016532D"/>
    <w:rsid w:val="001659C1"/>
    <w:rsid w:val="0016660C"/>
    <w:rsid w:val="001669BD"/>
    <w:rsid w:val="0016726A"/>
    <w:rsid w:val="001711A9"/>
    <w:rsid w:val="00171478"/>
    <w:rsid w:val="001718B7"/>
    <w:rsid w:val="00171FAE"/>
    <w:rsid w:val="001735B9"/>
    <w:rsid w:val="00173A8E"/>
    <w:rsid w:val="001741F7"/>
    <w:rsid w:val="0017437B"/>
    <w:rsid w:val="001747A2"/>
    <w:rsid w:val="00174FE7"/>
    <w:rsid w:val="001750CB"/>
    <w:rsid w:val="00175A10"/>
    <w:rsid w:val="00175A7C"/>
    <w:rsid w:val="001762DB"/>
    <w:rsid w:val="00176850"/>
    <w:rsid w:val="00176C7E"/>
    <w:rsid w:val="00176E09"/>
    <w:rsid w:val="00176E1A"/>
    <w:rsid w:val="00176FB5"/>
    <w:rsid w:val="00180304"/>
    <w:rsid w:val="00180B6F"/>
    <w:rsid w:val="0018143F"/>
    <w:rsid w:val="00181D12"/>
    <w:rsid w:val="001833D1"/>
    <w:rsid w:val="001833FB"/>
    <w:rsid w:val="00183599"/>
    <w:rsid w:val="00183958"/>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DF0"/>
    <w:rsid w:val="00194E68"/>
    <w:rsid w:val="001965C4"/>
    <w:rsid w:val="001969D1"/>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704"/>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EE8"/>
    <w:rsid w:val="001C3D2A"/>
    <w:rsid w:val="001C3D34"/>
    <w:rsid w:val="001C6312"/>
    <w:rsid w:val="001C664F"/>
    <w:rsid w:val="001C7D0A"/>
    <w:rsid w:val="001D0064"/>
    <w:rsid w:val="001D11ED"/>
    <w:rsid w:val="001D1452"/>
    <w:rsid w:val="001D1B44"/>
    <w:rsid w:val="001D2B1F"/>
    <w:rsid w:val="001D2C6B"/>
    <w:rsid w:val="001D2DB5"/>
    <w:rsid w:val="001D36A9"/>
    <w:rsid w:val="001D377E"/>
    <w:rsid w:val="001D37DE"/>
    <w:rsid w:val="001D3974"/>
    <w:rsid w:val="001D3E82"/>
    <w:rsid w:val="001D3FF3"/>
    <w:rsid w:val="001D43D0"/>
    <w:rsid w:val="001D4CB3"/>
    <w:rsid w:val="001D4EE6"/>
    <w:rsid w:val="001D51BA"/>
    <w:rsid w:val="001D52F5"/>
    <w:rsid w:val="001D5C84"/>
    <w:rsid w:val="001D6342"/>
    <w:rsid w:val="001D67BB"/>
    <w:rsid w:val="001D6D53"/>
    <w:rsid w:val="001D6E18"/>
    <w:rsid w:val="001D783F"/>
    <w:rsid w:val="001D79A1"/>
    <w:rsid w:val="001D7A02"/>
    <w:rsid w:val="001E018C"/>
    <w:rsid w:val="001E035B"/>
    <w:rsid w:val="001E0427"/>
    <w:rsid w:val="001E0B68"/>
    <w:rsid w:val="001E0E46"/>
    <w:rsid w:val="001E217E"/>
    <w:rsid w:val="001E23E4"/>
    <w:rsid w:val="001E2AD7"/>
    <w:rsid w:val="001E3E98"/>
    <w:rsid w:val="001E3F06"/>
    <w:rsid w:val="001E5654"/>
    <w:rsid w:val="001E58E2"/>
    <w:rsid w:val="001E5F35"/>
    <w:rsid w:val="001E7AED"/>
    <w:rsid w:val="001E7F3D"/>
    <w:rsid w:val="001F0CCF"/>
    <w:rsid w:val="001F2F31"/>
    <w:rsid w:val="001F36C3"/>
    <w:rsid w:val="001F3916"/>
    <w:rsid w:val="001F4037"/>
    <w:rsid w:val="001F466B"/>
    <w:rsid w:val="001F4676"/>
    <w:rsid w:val="001F54C5"/>
    <w:rsid w:val="001F5B50"/>
    <w:rsid w:val="001F60BB"/>
    <w:rsid w:val="001F61DB"/>
    <w:rsid w:val="001F6424"/>
    <w:rsid w:val="001F662C"/>
    <w:rsid w:val="001F7074"/>
    <w:rsid w:val="001F7A85"/>
    <w:rsid w:val="00200490"/>
    <w:rsid w:val="002009A4"/>
    <w:rsid w:val="00201F3A"/>
    <w:rsid w:val="0020327F"/>
    <w:rsid w:val="00203A34"/>
    <w:rsid w:val="00203F96"/>
    <w:rsid w:val="002041BF"/>
    <w:rsid w:val="00204216"/>
    <w:rsid w:val="00204831"/>
    <w:rsid w:val="00204E32"/>
    <w:rsid w:val="002050C4"/>
    <w:rsid w:val="0020640E"/>
    <w:rsid w:val="002069B2"/>
    <w:rsid w:val="00207FA3"/>
    <w:rsid w:val="002111FD"/>
    <w:rsid w:val="00211C14"/>
    <w:rsid w:val="00212596"/>
    <w:rsid w:val="002127F3"/>
    <w:rsid w:val="00212D1B"/>
    <w:rsid w:val="00212D2F"/>
    <w:rsid w:val="0021336E"/>
    <w:rsid w:val="00214DA8"/>
    <w:rsid w:val="0021529E"/>
    <w:rsid w:val="00215423"/>
    <w:rsid w:val="002158FA"/>
    <w:rsid w:val="00215991"/>
    <w:rsid w:val="00215D3F"/>
    <w:rsid w:val="00215F14"/>
    <w:rsid w:val="002160C0"/>
    <w:rsid w:val="002160D1"/>
    <w:rsid w:val="00216742"/>
    <w:rsid w:val="00217082"/>
    <w:rsid w:val="0021769B"/>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8"/>
    <w:rsid w:val="0022749F"/>
    <w:rsid w:val="002276E2"/>
    <w:rsid w:val="00227D97"/>
    <w:rsid w:val="00230765"/>
    <w:rsid w:val="00230BDB"/>
    <w:rsid w:val="0023125D"/>
    <w:rsid w:val="00231470"/>
    <w:rsid w:val="0023156D"/>
    <w:rsid w:val="00231637"/>
    <w:rsid w:val="002319E4"/>
    <w:rsid w:val="002320DA"/>
    <w:rsid w:val="00232491"/>
    <w:rsid w:val="002337AD"/>
    <w:rsid w:val="00233E89"/>
    <w:rsid w:val="002346E3"/>
    <w:rsid w:val="002349E8"/>
    <w:rsid w:val="00235632"/>
    <w:rsid w:val="00235872"/>
    <w:rsid w:val="00235CAB"/>
    <w:rsid w:val="00235DAD"/>
    <w:rsid w:val="00236493"/>
    <w:rsid w:val="00236ED3"/>
    <w:rsid w:val="00237918"/>
    <w:rsid w:val="002413CC"/>
    <w:rsid w:val="00241559"/>
    <w:rsid w:val="00241ECA"/>
    <w:rsid w:val="00242362"/>
    <w:rsid w:val="002425D2"/>
    <w:rsid w:val="0024267E"/>
    <w:rsid w:val="002426E0"/>
    <w:rsid w:val="00243179"/>
    <w:rsid w:val="0024350A"/>
    <w:rsid w:val="002435B3"/>
    <w:rsid w:val="00244040"/>
    <w:rsid w:val="00245766"/>
    <w:rsid w:val="002458EB"/>
    <w:rsid w:val="0024605C"/>
    <w:rsid w:val="002462D0"/>
    <w:rsid w:val="00246583"/>
    <w:rsid w:val="00246594"/>
    <w:rsid w:val="002468B7"/>
    <w:rsid w:val="0024729C"/>
    <w:rsid w:val="00247E2C"/>
    <w:rsid w:val="002502F9"/>
    <w:rsid w:val="00251316"/>
    <w:rsid w:val="00251615"/>
    <w:rsid w:val="002518B0"/>
    <w:rsid w:val="00251B4A"/>
    <w:rsid w:val="00251DE3"/>
    <w:rsid w:val="0025243C"/>
    <w:rsid w:val="00252DEC"/>
    <w:rsid w:val="002536A0"/>
    <w:rsid w:val="00254235"/>
    <w:rsid w:val="0025555E"/>
    <w:rsid w:val="00255D36"/>
    <w:rsid w:val="00257543"/>
    <w:rsid w:val="002577E6"/>
    <w:rsid w:val="00260656"/>
    <w:rsid w:val="00260A05"/>
    <w:rsid w:val="00261782"/>
    <w:rsid w:val="002617E7"/>
    <w:rsid w:val="00261A3A"/>
    <w:rsid w:val="00262A43"/>
    <w:rsid w:val="00262A45"/>
    <w:rsid w:val="002637AE"/>
    <w:rsid w:val="0026383C"/>
    <w:rsid w:val="00264189"/>
    <w:rsid w:val="00264228"/>
    <w:rsid w:val="00264334"/>
    <w:rsid w:val="0026473E"/>
    <w:rsid w:val="00265521"/>
    <w:rsid w:val="00265C81"/>
    <w:rsid w:val="00266214"/>
    <w:rsid w:val="00267A3C"/>
    <w:rsid w:val="00267C83"/>
    <w:rsid w:val="0027144F"/>
    <w:rsid w:val="00271A63"/>
    <w:rsid w:val="00271F3A"/>
    <w:rsid w:val="00273278"/>
    <w:rsid w:val="0027334A"/>
    <w:rsid w:val="002737F4"/>
    <w:rsid w:val="00273D70"/>
    <w:rsid w:val="00273E0E"/>
    <w:rsid w:val="00273E84"/>
    <w:rsid w:val="00274BB8"/>
    <w:rsid w:val="00274C41"/>
    <w:rsid w:val="00274DFF"/>
    <w:rsid w:val="00275D06"/>
    <w:rsid w:val="00276081"/>
    <w:rsid w:val="0027688B"/>
    <w:rsid w:val="00276B67"/>
    <w:rsid w:val="00277097"/>
    <w:rsid w:val="00277490"/>
    <w:rsid w:val="00280089"/>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1CED"/>
    <w:rsid w:val="00292EB7"/>
    <w:rsid w:val="002937A1"/>
    <w:rsid w:val="00295BE1"/>
    <w:rsid w:val="00295FCF"/>
    <w:rsid w:val="00296227"/>
    <w:rsid w:val="00296314"/>
    <w:rsid w:val="00296542"/>
    <w:rsid w:val="00296F44"/>
    <w:rsid w:val="0029777D"/>
    <w:rsid w:val="002A055E"/>
    <w:rsid w:val="002A0607"/>
    <w:rsid w:val="002A1733"/>
    <w:rsid w:val="002A1D4E"/>
    <w:rsid w:val="002A1F3F"/>
    <w:rsid w:val="002A2107"/>
    <w:rsid w:val="002A2869"/>
    <w:rsid w:val="002A2B92"/>
    <w:rsid w:val="002A3257"/>
    <w:rsid w:val="002A37EE"/>
    <w:rsid w:val="002A3FC3"/>
    <w:rsid w:val="002A4063"/>
    <w:rsid w:val="002A48B3"/>
    <w:rsid w:val="002A4C62"/>
    <w:rsid w:val="002A4CC1"/>
    <w:rsid w:val="002A5F35"/>
    <w:rsid w:val="002A6158"/>
    <w:rsid w:val="002A6CFF"/>
    <w:rsid w:val="002A6FF8"/>
    <w:rsid w:val="002A7683"/>
    <w:rsid w:val="002B24D6"/>
    <w:rsid w:val="002B2C00"/>
    <w:rsid w:val="002B3A7C"/>
    <w:rsid w:val="002B3B0D"/>
    <w:rsid w:val="002B3FE9"/>
    <w:rsid w:val="002B63F2"/>
    <w:rsid w:val="002B6D00"/>
    <w:rsid w:val="002B6FA2"/>
    <w:rsid w:val="002B77BF"/>
    <w:rsid w:val="002B7A2E"/>
    <w:rsid w:val="002C0976"/>
    <w:rsid w:val="002C1174"/>
    <w:rsid w:val="002C151A"/>
    <w:rsid w:val="002C291A"/>
    <w:rsid w:val="002C2995"/>
    <w:rsid w:val="002C31B3"/>
    <w:rsid w:val="002C33B4"/>
    <w:rsid w:val="002C36EA"/>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C5C"/>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077"/>
    <w:rsid w:val="002F5609"/>
    <w:rsid w:val="002F585B"/>
    <w:rsid w:val="002F5AFC"/>
    <w:rsid w:val="002F6CB0"/>
    <w:rsid w:val="002F6E9C"/>
    <w:rsid w:val="002F6EF2"/>
    <w:rsid w:val="002F771F"/>
    <w:rsid w:val="002F784D"/>
    <w:rsid w:val="002F7EC5"/>
    <w:rsid w:val="003001B2"/>
    <w:rsid w:val="003003EF"/>
    <w:rsid w:val="003003F3"/>
    <w:rsid w:val="0030075F"/>
    <w:rsid w:val="00300A39"/>
    <w:rsid w:val="00300DE8"/>
    <w:rsid w:val="00300E54"/>
    <w:rsid w:val="003018E3"/>
    <w:rsid w:val="00301BDB"/>
    <w:rsid w:val="00301CE6"/>
    <w:rsid w:val="00302569"/>
    <w:rsid w:val="0030256B"/>
    <w:rsid w:val="00302D11"/>
    <w:rsid w:val="003038EC"/>
    <w:rsid w:val="0030501F"/>
    <w:rsid w:val="00305444"/>
    <w:rsid w:val="00306CD1"/>
    <w:rsid w:val="0030704D"/>
    <w:rsid w:val="003077D5"/>
    <w:rsid w:val="00307A45"/>
    <w:rsid w:val="00307BA1"/>
    <w:rsid w:val="00311702"/>
    <w:rsid w:val="00311E82"/>
    <w:rsid w:val="003124BA"/>
    <w:rsid w:val="00312C0A"/>
    <w:rsid w:val="00313FD6"/>
    <w:rsid w:val="003143BD"/>
    <w:rsid w:val="003153C1"/>
    <w:rsid w:val="00320177"/>
    <w:rsid w:val="003203ED"/>
    <w:rsid w:val="0032073F"/>
    <w:rsid w:val="0032130F"/>
    <w:rsid w:val="00322820"/>
    <w:rsid w:val="00322C9F"/>
    <w:rsid w:val="003233E6"/>
    <w:rsid w:val="00324135"/>
    <w:rsid w:val="003242DD"/>
    <w:rsid w:val="0032440E"/>
    <w:rsid w:val="00324AA1"/>
    <w:rsid w:val="00324D23"/>
    <w:rsid w:val="00325768"/>
    <w:rsid w:val="00325884"/>
    <w:rsid w:val="00325F35"/>
    <w:rsid w:val="003260A9"/>
    <w:rsid w:val="0032619C"/>
    <w:rsid w:val="00326296"/>
    <w:rsid w:val="00326366"/>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37A6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6989"/>
    <w:rsid w:val="00357380"/>
    <w:rsid w:val="00360259"/>
    <w:rsid w:val="003602D9"/>
    <w:rsid w:val="00361261"/>
    <w:rsid w:val="003616AD"/>
    <w:rsid w:val="003622E7"/>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5DD"/>
    <w:rsid w:val="00375719"/>
    <w:rsid w:val="0037673C"/>
    <w:rsid w:val="003768AA"/>
    <w:rsid w:val="00376B0A"/>
    <w:rsid w:val="0037719F"/>
    <w:rsid w:val="00377CE1"/>
    <w:rsid w:val="00380D7D"/>
    <w:rsid w:val="0038102E"/>
    <w:rsid w:val="003821E2"/>
    <w:rsid w:val="00383467"/>
    <w:rsid w:val="003838A0"/>
    <w:rsid w:val="00384177"/>
    <w:rsid w:val="00384284"/>
    <w:rsid w:val="00385770"/>
    <w:rsid w:val="00385932"/>
    <w:rsid w:val="003859C1"/>
    <w:rsid w:val="00385BF0"/>
    <w:rsid w:val="003861C1"/>
    <w:rsid w:val="00386578"/>
    <w:rsid w:val="00386747"/>
    <w:rsid w:val="00387186"/>
    <w:rsid w:val="003872B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681"/>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01F"/>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005"/>
    <w:rsid w:val="003C62E9"/>
    <w:rsid w:val="003C62ED"/>
    <w:rsid w:val="003C6C78"/>
    <w:rsid w:val="003C6D1B"/>
    <w:rsid w:val="003C6E0C"/>
    <w:rsid w:val="003C733E"/>
    <w:rsid w:val="003C7806"/>
    <w:rsid w:val="003D109F"/>
    <w:rsid w:val="003D2478"/>
    <w:rsid w:val="003D2DDE"/>
    <w:rsid w:val="003D41C3"/>
    <w:rsid w:val="003D4835"/>
    <w:rsid w:val="003D5831"/>
    <w:rsid w:val="003D5B1F"/>
    <w:rsid w:val="003D6122"/>
    <w:rsid w:val="003D6509"/>
    <w:rsid w:val="003D6649"/>
    <w:rsid w:val="003D7146"/>
    <w:rsid w:val="003D7999"/>
    <w:rsid w:val="003D7FB1"/>
    <w:rsid w:val="003E104F"/>
    <w:rsid w:val="003E1105"/>
    <w:rsid w:val="003E128F"/>
    <w:rsid w:val="003E14A6"/>
    <w:rsid w:val="003E15FA"/>
    <w:rsid w:val="003E15FB"/>
    <w:rsid w:val="003E16CC"/>
    <w:rsid w:val="003E179A"/>
    <w:rsid w:val="003E1D16"/>
    <w:rsid w:val="003E1D23"/>
    <w:rsid w:val="003E1FA9"/>
    <w:rsid w:val="003E24A5"/>
    <w:rsid w:val="003E2C88"/>
    <w:rsid w:val="003E3A77"/>
    <w:rsid w:val="003E3DD1"/>
    <w:rsid w:val="003E42D2"/>
    <w:rsid w:val="003E4493"/>
    <w:rsid w:val="003E46C7"/>
    <w:rsid w:val="003E4789"/>
    <w:rsid w:val="003E517D"/>
    <w:rsid w:val="003E55E4"/>
    <w:rsid w:val="003E5B3A"/>
    <w:rsid w:val="003E64AD"/>
    <w:rsid w:val="003E7090"/>
    <w:rsid w:val="003E738D"/>
    <w:rsid w:val="003E7396"/>
    <w:rsid w:val="003E74E3"/>
    <w:rsid w:val="003E7676"/>
    <w:rsid w:val="003E7C0E"/>
    <w:rsid w:val="003F05C7"/>
    <w:rsid w:val="003F16F6"/>
    <w:rsid w:val="003F1D3F"/>
    <w:rsid w:val="003F24A2"/>
    <w:rsid w:val="003F25D5"/>
    <w:rsid w:val="003F2CD4"/>
    <w:rsid w:val="003F370E"/>
    <w:rsid w:val="003F4036"/>
    <w:rsid w:val="003F4A38"/>
    <w:rsid w:val="003F4A65"/>
    <w:rsid w:val="003F56D3"/>
    <w:rsid w:val="003F5B82"/>
    <w:rsid w:val="003F5CA0"/>
    <w:rsid w:val="003F5DCE"/>
    <w:rsid w:val="003F6392"/>
    <w:rsid w:val="003F6841"/>
    <w:rsid w:val="003F6BBE"/>
    <w:rsid w:val="003F7245"/>
    <w:rsid w:val="003F77C3"/>
    <w:rsid w:val="004000E8"/>
    <w:rsid w:val="004008B0"/>
    <w:rsid w:val="0040167E"/>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598"/>
    <w:rsid w:val="00415E8A"/>
    <w:rsid w:val="00416DDF"/>
    <w:rsid w:val="00416EC3"/>
    <w:rsid w:val="00417D42"/>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19C"/>
    <w:rsid w:val="00427248"/>
    <w:rsid w:val="00427772"/>
    <w:rsid w:val="004319AA"/>
    <w:rsid w:val="00431A9F"/>
    <w:rsid w:val="004328D6"/>
    <w:rsid w:val="0043299F"/>
    <w:rsid w:val="00432F94"/>
    <w:rsid w:val="00433752"/>
    <w:rsid w:val="00433CB2"/>
    <w:rsid w:val="004345C8"/>
    <w:rsid w:val="0043473D"/>
    <w:rsid w:val="00434E58"/>
    <w:rsid w:val="00434ED0"/>
    <w:rsid w:val="00436466"/>
    <w:rsid w:val="00437447"/>
    <w:rsid w:val="00437EC6"/>
    <w:rsid w:val="00440C67"/>
    <w:rsid w:val="00440F6B"/>
    <w:rsid w:val="004410B9"/>
    <w:rsid w:val="00441829"/>
    <w:rsid w:val="00441A92"/>
    <w:rsid w:val="0044218F"/>
    <w:rsid w:val="004427DC"/>
    <w:rsid w:val="00442A5F"/>
    <w:rsid w:val="00443C63"/>
    <w:rsid w:val="00444B1D"/>
    <w:rsid w:val="00444F56"/>
    <w:rsid w:val="004452C3"/>
    <w:rsid w:val="00445828"/>
    <w:rsid w:val="004459C8"/>
    <w:rsid w:val="00446488"/>
    <w:rsid w:val="00446A99"/>
    <w:rsid w:val="0044705A"/>
    <w:rsid w:val="004475BC"/>
    <w:rsid w:val="004478DA"/>
    <w:rsid w:val="00447BC3"/>
    <w:rsid w:val="00447E3D"/>
    <w:rsid w:val="00450214"/>
    <w:rsid w:val="00450677"/>
    <w:rsid w:val="00450E98"/>
    <w:rsid w:val="004517AA"/>
    <w:rsid w:val="0045241A"/>
    <w:rsid w:val="00452CAC"/>
    <w:rsid w:val="0045334A"/>
    <w:rsid w:val="00453980"/>
    <w:rsid w:val="00453A50"/>
    <w:rsid w:val="0045419A"/>
    <w:rsid w:val="004545AE"/>
    <w:rsid w:val="004555E3"/>
    <w:rsid w:val="00455D0D"/>
    <w:rsid w:val="00455E5B"/>
    <w:rsid w:val="0045606C"/>
    <w:rsid w:val="0045630F"/>
    <w:rsid w:val="00456425"/>
    <w:rsid w:val="004567BF"/>
    <w:rsid w:val="00456D12"/>
    <w:rsid w:val="00457565"/>
    <w:rsid w:val="00457B71"/>
    <w:rsid w:val="00460D15"/>
    <w:rsid w:val="004616E7"/>
    <w:rsid w:val="00461892"/>
    <w:rsid w:val="00462C36"/>
    <w:rsid w:val="0046493F"/>
    <w:rsid w:val="004661B2"/>
    <w:rsid w:val="004669E2"/>
    <w:rsid w:val="00466F5E"/>
    <w:rsid w:val="00466FFC"/>
    <w:rsid w:val="00470334"/>
    <w:rsid w:val="0047081B"/>
    <w:rsid w:val="00470B4B"/>
    <w:rsid w:val="00470C2E"/>
    <w:rsid w:val="00470C31"/>
    <w:rsid w:val="00470F28"/>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C53"/>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1EE5"/>
    <w:rsid w:val="004927CF"/>
    <w:rsid w:val="00492BC5"/>
    <w:rsid w:val="00492E72"/>
    <w:rsid w:val="00493240"/>
    <w:rsid w:val="0049365C"/>
    <w:rsid w:val="00495043"/>
    <w:rsid w:val="00495F4B"/>
    <w:rsid w:val="00496498"/>
    <w:rsid w:val="004964F1"/>
    <w:rsid w:val="00496E03"/>
    <w:rsid w:val="00496FBF"/>
    <w:rsid w:val="0049704C"/>
    <w:rsid w:val="00497314"/>
    <w:rsid w:val="004974EB"/>
    <w:rsid w:val="004976D7"/>
    <w:rsid w:val="00497C80"/>
    <w:rsid w:val="004A0373"/>
    <w:rsid w:val="004A059A"/>
    <w:rsid w:val="004A1384"/>
    <w:rsid w:val="004A1610"/>
    <w:rsid w:val="004A16BC"/>
    <w:rsid w:val="004A278B"/>
    <w:rsid w:val="004A27DF"/>
    <w:rsid w:val="004A2B94"/>
    <w:rsid w:val="004A2D47"/>
    <w:rsid w:val="004A3A69"/>
    <w:rsid w:val="004A3C42"/>
    <w:rsid w:val="004A4A51"/>
    <w:rsid w:val="004A5256"/>
    <w:rsid w:val="004A574C"/>
    <w:rsid w:val="004A614C"/>
    <w:rsid w:val="004A7D0F"/>
    <w:rsid w:val="004B071E"/>
    <w:rsid w:val="004B0802"/>
    <w:rsid w:val="004B0840"/>
    <w:rsid w:val="004B0924"/>
    <w:rsid w:val="004B09DB"/>
    <w:rsid w:val="004B0A8F"/>
    <w:rsid w:val="004B0BE0"/>
    <w:rsid w:val="004B1049"/>
    <w:rsid w:val="004B1B4E"/>
    <w:rsid w:val="004B1CFE"/>
    <w:rsid w:val="004B1DB8"/>
    <w:rsid w:val="004B22B4"/>
    <w:rsid w:val="004B2532"/>
    <w:rsid w:val="004B2F6C"/>
    <w:rsid w:val="004B4459"/>
    <w:rsid w:val="004B44CE"/>
    <w:rsid w:val="004B4593"/>
    <w:rsid w:val="004B564B"/>
    <w:rsid w:val="004B6199"/>
    <w:rsid w:val="004B6429"/>
    <w:rsid w:val="004B74E1"/>
    <w:rsid w:val="004B7C0C"/>
    <w:rsid w:val="004C0C9D"/>
    <w:rsid w:val="004C10B1"/>
    <w:rsid w:val="004C1260"/>
    <w:rsid w:val="004C1E01"/>
    <w:rsid w:val="004C1EE2"/>
    <w:rsid w:val="004C23B1"/>
    <w:rsid w:val="004C23BA"/>
    <w:rsid w:val="004C2B95"/>
    <w:rsid w:val="004C3216"/>
    <w:rsid w:val="004C3898"/>
    <w:rsid w:val="004C3B35"/>
    <w:rsid w:val="004C3C55"/>
    <w:rsid w:val="004C4662"/>
    <w:rsid w:val="004C46D8"/>
    <w:rsid w:val="004C5DF8"/>
    <w:rsid w:val="004C5EE9"/>
    <w:rsid w:val="004C5EF7"/>
    <w:rsid w:val="004C6A7A"/>
    <w:rsid w:val="004C6D2F"/>
    <w:rsid w:val="004C6D4F"/>
    <w:rsid w:val="004C6ED8"/>
    <w:rsid w:val="004C72BF"/>
    <w:rsid w:val="004C77F7"/>
    <w:rsid w:val="004D06BB"/>
    <w:rsid w:val="004D2254"/>
    <w:rsid w:val="004D22B0"/>
    <w:rsid w:val="004D36B1"/>
    <w:rsid w:val="004D3C15"/>
    <w:rsid w:val="004D4132"/>
    <w:rsid w:val="004D594B"/>
    <w:rsid w:val="004D5DD5"/>
    <w:rsid w:val="004D6C54"/>
    <w:rsid w:val="004D6E88"/>
    <w:rsid w:val="004D7184"/>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96"/>
    <w:rsid w:val="004E37A5"/>
    <w:rsid w:val="004E3BAF"/>
    <w:rsid w:val="004E45AE"/>
    <w:rsid w:val="004E462E"/>
    <w:rsid w:val="004E466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E"/>
    <w:rsid w:val="004F6150"/>
    <w:rsid w:val="004F631B"/>
    <w:rsid w:val="004F6322"/>
    <w:rsid w:val="004F659D"/>
    <w:rsid w:val="004F66A7"/>
    <w:rsid w:val="004F735E"/>
    <w:rsid w:val="005004C1"/>
    <w:rsid w:val="00500B52"/>
    <w:rsid w:val="00501163"/>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D9B"/>
    <w:rsid w:val="00512181"/>
    <w:rsid w:val="0051249C"/>
    <w:rsid w:val="00512811"/>
    <w:rsid w:val="00514531"/>
    <w:rsid w:val="005146A4"/>
    <w:rsid w:val="00514D22"/>
    <w:rsid w:val="005153A7"/>
    <w:rsid w:val="00517FD4"/>
    <w:rsid w:val="00521120"/>
    <w:rsid w:val="005219CF"/>
    <w:rsid w:val="00521FFB"/>
    <w:rsid w:val="00522170"/>
    <w:rsid w:val="00522857"/>
    <w:rsid w:val="005234AA"/>
    <w:rsid w:val="005247C5"/>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4FE"/>
    <w:rsid w:val="0054206F"/>
    <w:rsid w:val="00542D12"/>
    <w:rsid w:val="00543B3A"/>
    <w:rsid w:val="00543E1E"/>
    <w:rsid w:val="00544AC8"/>
    <w:rsid w:val="00545011"/>
    <w:rsid w:val="00545448"/>
    <w:rsid w:val="0054634A"/>
    <w:rsid w:val="005464F6"/>
    <w:rsid w:val="005465A6"/>
    <w:rsid w:val="00546970"/>
    <w:rsid w:val="00546D33"/>
    <w:rsid w:val="00546F3E"/>
    <w:rsid w:val="00547601"/>
    <w:rsid w:val="00547FF5"/>
    <w:rsid w:val="00551810"/>
    <w:rsid w:val="00552588"/>
    <w:rsid w:val="00552A0A"/>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9D"/>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19A"/>
    <w:rsid w:val="00582561"/>
    <w:rsid w:val="00582809"/>
    <w:rsid w:val="00583F8C"/>
    <w:rsid w:val="00585C6A"/>
    <w:rsid w:val="00586023"/>
    <w:rsid w:val="0058638E"/>
    <w:rsid w:val="00586451"/>
    <w:rsid w:val="005864CE"/>
    <w:rsid w:val="0058798C"/>
    <w:rsid w:val="005900FA"/>
    <w:rsid w:val="00590A17"/>
    <w:rsid w:val="00590F22"/>
    <w:rsid w:val="00590F46"/>
    <w:rsid w:val="00590FB2"/>
    <w:rsid w:val="0059121D"/>
    <w:rsid w:val="0059237B"/>
    <w:rsid w:val="00592B09"/>
    <w:rsid w:val="005934D4"/>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E34"/>
    <w:rsid w:val="005A47CD"/>
    <w:rsid w:val="005A4A47"/>
    <w:rsid w:val="005A5838"/>
    <w:rsid w:val="005A5922"/>
    <w:rsid w:val="005A6049"/>
    <w:rsid w:val="005A6075"/>
    <w:rsid w:val="005A662D"/>
    <w:rsid w:val="005A6991"/>
    <w:rsid w:val="005A752F"/>
    <w:rsid w:val="005B0105"/>
    <w:rsid w:val="005B0595"/>
    <w:rsid w:val="005B0609"/>
    <w:rsid w:val="005B0BA9"/>
    <w:rsid w:val="005B0E9B"/>
    <w:rsid w:val="005B0EED"/>
    <w:rsid w:val="005B18CD"/>
    <w:rsid w:val="005B35BD"/>
    <w:rsid w:val="005B35D7"/>
    <w:rsid w:val="005B392A"/>
    <w:rsid w:val="005B3AA3"/>
    <w:rsid w:val="005B3B9F"/>
    <w:rsid w:val="005B4C4E"/>
    <w:rsid w:val="005B4F4D"/>
    <w:rsid w:val="005B5371"/>
    <w:rsid w:val="005B5493"/>
    <w:rsid w:val="005B5511"/>
    <w:rsid w:val="005B576D"/>
    <w:rsid w:val="005B5A04"/>
    <w:rsid w:val="005B5EAF"/>
    <w:rsid w:val="005B65FA"/>
    <w:rsid w:val="005B673A"/>
    <w:rsid w:val="005B6972"/>
    <w:rsid w:val="005B6D71"/>
    <w:rsid w:val="005B6F83"/>
    <w:rsid w:val="005B706E"/>
    <w:rsid w:val="005C071C"/>
    <w:rsid w:val="005C1395"/>
    <w:rsid w:val="005C1544"/>
    <w:rsid w:val="005C214A"/>
    <w:rsid w:val="005C2555"/>
    <w:rsid w:val="005C2834"/>
    <w:rsid w:val="005C31DD"/>
    <w:rsid w:val="005C37F3"/>
    <w:rsid w:val="005C42CB"/>
    <w:rsid w:val="005C433B"/>
    <w:rsid w:val="005C61AC"/>
    <w:rsid w:val="005C65B6"/>
    <w:rsid w:val="005C6E03"/>
    <w:rsid w:val="005C74FB"/>
    <w:rsid w:val="005C76FB"/>
    <w:rsid w:val="005C7D19"/>
    <w:rsid w:val="005D030D"/>
    <w:rsid w:val="005D0B78"/>
    <w:rsid w:val="005D1602"/>
    <w:rsid w:val="005D28DF"/>
    <w:rsid w:val="005D2D53"/>
    <w:rsid w:val="005D32AE"/>
    <w:rsid w:val="005D36DB"/>
    <w:rsid w:val="005D46F7"/>
    <w:rsid w:val="005D4AB0"/>
    <w:rsid w:val="005D53C3"/>
    <w:rsid w:val="005D623C"/>
    <w:rsid w:val="005D69BE"/>
    <w:rsid w:val="005D7271"/>
    <w:rsid w:val="005D7A1B"/>
    <w:rsid w:val="005D7B61"/>
    <w:rsid w:val="005D7C82"/>
    <w:rsid w:val="005D7ED3"/>
    <w:rsid w:val="005E0326"/>
    <w:rsid w:val="005E0C50"/>
    <w:rsid w:val="005E0C55"/>
    <w:rsid w:val="005E18FE"/>
    <w:rsid w:val="005E26F2"/>
    <w:rsid w:val="005E2DCB"/>
    <w:rsid w:val="005E33DA"/>
    <w:rsid w:val="005E343D"/>
    <w:rsid w:val="005E385F"/>
    <w:rsid w:val="005E4663"/>
    <w:rsid w:val="005E4FCF"/>
    <w:rsid w:val="005E53B7"/>
    <w:rsid w:val="005E5895"/>
    <w:rsid w:val="005E5B81"/>
    <w:rsid w:val="005E5C2F"/>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8A3"/>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D4C"/>
    <w:rsid w:val="00613E79"/>
    <w:rsid w:val="00614994"/>
    <w:rsid w:val="006151D2"/>
    <w:rsid w:val="00615318"/>
    <w:rsid w:val="00615FD5"/>
    <w:rsid w:val="00616D03"/>
    <w:rsid w:val="00617734"/>
    <w:rsid w:val="00620B97"/>
    <w:rsid w:val="00621662"/>
    <w:rsid w:val="00621751"/>
    <w:rsid w:val="0062281D"/>
    <w:rsid w:val="00623058"/>
    <w:rsid w:val="006232E1"/>
    <w:rsid w:val="006234A6"/>
    <w:rsid w:val="00624614"/>
    <w:rsid w:val="006250C5"/>
    <w:rsid w:val="006252E1"/>
    <w:rsid w:val="006254B7"/>
    <w:rsid w:val="00626130"/>
    <w:rsid w:val="006261B8"/>
    <w:rsid w:val="00626579"/>
    <w:rsid w:val="006274A6"/>
    <w:rsid w:val="0062798D"/>
    <w:rsid w:val="00627DB8"/>
    <w:rsid w:val="00630001"/>
    <w:rsid w:val="006311B3"/>
    <w:rsid w:val="00631957"/>
    <w:rsid w:val="00631AA5"/>
    <w:rsid w:val="00632043"/>
    <w:rsid w:val="00632120"/>
    <w:rsid w:val="0063284C"/>
    <w:rsid w:val="00632BD0"/>
    <w:rsid w:val="00633697"/>
    <w:rsid w:val="00634BF5"/>
    <w:rsid w:val="00634EEA"/>
    <w:rsid w:val="00635117"/>
    <w:rsid w:val="00635427"/>
    <w:rsid w:val="006362D2"/>
    <w:rsid w:val="00636398"/>
    <w:rsid w:val="0063672F"/>
    <w:rsid w:val="006367D3"/>
    <w:rsid w:val="006368D3"/>
    <w:rsid w:val="006369E9"/>
    <w:rsid w:val="006377EC"/>
    <w:rsid w:val="00640B58"/>
    <w:rsid w:val="00640E32"/>
    <w:rsid w:val="00640F0A"/>
    <w:rsid w:val="00641489"/>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2A"/>
    <w:rsid w:val="00650EA2"/>
    <w:rsid w:val="0065127D"/>
    <w:rsid w:val="00652807"/>
    <w:rsid w:val="00652CED"/>
    <w:rsid w:val="00653266"/>
    <w:rsid w:val="006533E6"/>
    <w:rsid w:val="006538FC"/>
    <w:rsid w:val="00653FB4"/>
    <w:rsid w:val="006541CA"/>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60C5"/>
    <w:rsid w:val="006668C8"/>
    <w:rsid w:val="00667EE7"/>
    <w:rsid w:val="00670922"/>
    <w:rsid w:val="00670BE1"/>
    <w:rsid w:val="00670E64"/>
    <w:rsid w:val="0067129B"/>
    <w:rsid w:val="00671582"/>
    <w:rsid w:val="006719BC"/>
    <w:rsid w:val="00671DC9"/>
    <w:rsid w:val="00671E18"/>
    <w:rsid w:val="00671E79"/>
    <w:rsid w:val="00671FD1"/>
    <w:rsid w:val="0067218F"/>
    <w:rsid w:val="00673784"/>
    <w:rsid w:val="00673B0F"/>
    <w:rsid w:val="006741F2"/>
    <w:rsid w:val="0067421C"/>
    <w:rsid w:val="00674CC3"/>
    <w:rsid w:val="00675C72"/>
    <w:rsid w:val="006768BC"/>
    <w:rsid w:val="00676D1A"/>
    <w:rsid w:val="006771F9"/>
    <w:rsid w:val="006776D7"/>
    <w:rsid w:val="00680FB1"/>
    <w:rsid w:val="00681003"/>
    <w:rsid w:val="006810A7"/>
    <w:rsid w:val="006812CA"/>
    <w:rsid w:val="00681324"/>
    <w:rsid w:val="006817C9"/>
    <w:rsid w:val="00682130"/>
    <w:rsid w:val="00682192"/>
    <w:rsid w:val="00682919"/>
    <w:rsid w:val="006830A2"/>
    <w:rsid w:val="00683882"/>
    <w:rsid w:val="00683A3B"/>
    <w:rsid w:val="00684179"/>
    <w:rsid w:val="00684721"/>
    <w:rsid w:val="00684C61"/>
    <w:rsid w:val="00685EAF"/>
    <w:rsid w:val="00685F6F"/>
    <w:rsid w:val="0068608B"/>
    <w:rsid w:val="006867A6"/>
    <w:rsid w:val="00686917"/>
    <w:rsid w:val="006874C8"/>
    <w:rsid w:val="006878E0"/>
    <w:rsid w:val="006900DC"/>
    <w:rsid w:val="006906DB"/>
    <w:rsid w:val="006909F6"/>
    <w:rsid w:val="00691A2E"/>
    <w:rsid w:val="006921F6"/>
    <w:rsid w:val="006929B2"/>
    <w:rsid w:val="00692C29"/>
    <w:rsid w:val="00692E40"/>
    <w:rsid w:val="006931AC"/>
    <w:rsid w:val="00693D31"/>
    <w:rsid w:val="00694727"/>
    <w:rsid w:val="0069594C"/>
    <w:rsid w:val="00695A30"/>
    <w:rsid w:val="00695C71"/>
    <w:rsid w:val="00695FC2"/>
    <w:rsid w:val="006962FB"/>
    <w:rsid w:val="00696949"/>
    <w:rsid w:val="00696E4F"/>
    <w:rsid w:val="00697052"/>
    <w:rsid w:val="00697530"/>
    <w:rsid w:val="00697F2A"/>
    <w:rsid w:val="006A06B2"/>
    <w:rsid w:val="006A0E56"/>
    <w:rsid w:val="006A0ECE"/>
    <w:rsid w:val="006A18E3"/>
    <w:rsid w:val="006A325E"/>
    <w:rsid w:val="006A36CC"/>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47F"/>
    <w:rsid w:val="006B70C9"/>
    <w:rsid w:val="006B7254"/>
    <w:rsid w:val="006B7277"/>
    <w:rsid w:val="006B7F40"/>
    <w:rsid w:val="006C03B8"/>
    <w:rsid w:val="006C109D"/>
    <w:rsid w:val="006C1180"/>
    <w:rsid w:val="006C29D7"/>
    <w:rsid w:val="006C2BD5"/>
    <w:rsid w:val="006C2D02"/>
    <w:rsid w:val="006C385B"/>
    <w:rsid w:val="006C3BFD"/>
    <w:rsid w:val="006C405C"/>
    <w:rsid w:val="006C4E5C"/>
    <w:rsid w:val="006C545C"/>
    <w:rsid w:val="006C58DF"/>
    <w:rsid w:val="006C59FF"/>
    <w:rsid w:val="006C5B25"/>
    <w:rsid w:val="006C5EC9"/>
    <w:rsid w:val="006C6059"/>
    <w:rsid w:val="006C65D0"/>
    <w:rsid w:val="006C6FEE"/>
    <w:rsid w:val="006C7522"/>
    <w:rsid w:val="006D0AB0"/>
    <w:rsid w:val="006D0AF4"/>
    <w:rsid w:val="006D0EF3"/>
    <w:rsid w:val="006D139D"/>
    <w:rsid w:val="006D1544"/>
    <w:rsid w:val="006D305F"/>
    <w:rsid w:val="006D351A"/>
    <w:rsid w:val="006D3D56"/>
    <w:rsid w:val="006D4C5B"/>
    <w:rsid w:val="006D5CE4"/>
    <w:rsid w:val="006D5FB2"/>
    <w:rsid w:val="006D6046"/>
    <w:rsid w:val="006D6645"/>
    <w:rsid w:val="006D6F08"/>
    <w:rsid w:val="006D74BE"/>
    <w:rsid w:val="006D79AB"/>
    <w:rsid w:val="006D7DA7"/>
    <w:rsid w:val="006E0100"/>
    <w:rsid w:val="006E062C"/>
    <w:rsid w:val="006E1094"/>
    <w:rsid w:val="006E258F"/>
    <w:rsid w:val="006E28B7"/>
    <w:rsid w:val="006E2B61"/>
    <w:rsid w:val="006E3310"/>
    <w:rsid w:val="006E3367"/>
    <w:rsid w:val="006E3395"/>
    <w:rsid w:val="006E350F"/>
    <w:rsid w:val="006E44D2"/>
    <w:rsid w:val="006E44D5"/>
    <w:rsid w:val="006E456A"/>
    <w:rsid w:val="006E4677"/>
    <w:rsid w:val="006E46A8"/>
    <w:rsid w:val="006E4A5A"/>
    <w:rsid w:val="006E4E39"/>
    <w:rsid w:val="006E545B"/>
    <w:rsid w:val="006E565E"/>
    <w:rsid w:val="006E5A6E"/>
    <w:rsid w:val="006E5AAD"/>
    <w:rsid w:val="006E6E5E"/>
    <w:rsid w:val="006E7D3B"/>
    <w:rsid w:val="006F0087"/>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37E"/>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7C1"/>
    <w:rsid w:val="00704EDB"/>
    <w:rsid w:val="00705BC2"/>
    <w:rsid w:val="00705DC1"/>
    <w:rsid w:val="00705F8A"/>
    <w:rsid w:val="00706101"/>
    <w:rsid w:val="0070666D"/>
    <w:rsid w:val="00706B8A"/>
    <w:rsid w:val="00706DF5"/>
    <w:rsid w:val="00706FAA"/>
    <w:rsid w:val="0070766F"/>
    <w:rsid w:val="00707ADF"/>
    <w:rsid w:val="00707D61"/>
    <w:rsid w:val="0071014C"/>
    <w:rsid w:val="007104E3"/>
    <w:rsid w:val="00710B85"/>
    <w:rsid w:val="007118CA"/>
    <w:rsid w:val="00711D31"/>
    <w:rsid w:val="00712287"/>
    <w:rsid w:val="00712772"/>
    <w:rsid w:val="00712D69"/>
    <w:rsid w:val="0071334D"/>
    <w:rsid w:val="00713CF5"/>
    <w:rsid w:val="00714148"/>
    <w:rsid w:val="00714750"/>
    <w:rsid w:val="007147C8"/>
    <w:rsid w:val="007148D3"/>
    <w:rsid w:val="0071551B"/>
    <w:rsid w:val="00715638"/>
    <w:rsid w:val="00715A32"/>
    <w:rsid w:val="00715B9A"/>
    <w:rsid w:val="0071600C"/>
    <w:rsid w:val="007161DA"/>
    <w:rsid w:val="007163B5"/>
    <w:rsid w:val="00717413"/>
    <w:rsid w:val="00720CB6"/>
    <w:rsid w:val="00721353"/>
    <w:rsid w:val="00721E95"/>
    <w:rsid w:val="00723001"/>
    <w:rsid w:val="0072444B"/>
    <w:rsid w:val="007245A0"/>
    <w:rsid w:val="00724649"/>
    <w:rsid w:val="00724AE1"/>
    <w:rsid w:val="00725161"/>
    <w:rsid w:val="00725300"/>
    <w:rsid w:val="00725B07"/>
    <w:rsid w:val="00725EA9"/>
    <w:rsid w:val="00726EA6"/>
    <w:rsid w:val="00727208"/>
    <w:rsid w:val="00727299"/>
    <w:rsid w:val="00727680"/>
    <w:rsid w:val="00727D2C"/>
    <w:rsid w:val="0073054C"/>
    <w:rsid w:val="00730C7D"/>
    <w:rsid w:val="00731066"/>
    <w:rsid w:val="00731540"/>
    <w:rsid w:val="0073190B"/>
    <w:rsid w:val="00731A6F"/>
    <w:rsid w:val="00733553"/>
    <w:rsid w:val="00733730"/>
    <w:rsid w:val="007342C6"/>
    <w:rsid w:val="007348B1"/>
    <w:rsid w:val="00734E42"/>
    <w:rsid w:val="00734FCD"/>
    <w:rsid w:val="0073580E"/>
    <w:rsid w:val="007358C2"/>
    <w:rsid w:val="00736143"/>
    <w:rsid w:val="007362A6"/>
    <w:rsid w:val="007362DB"/>
    <w:rsid w:val="00736AA2"/>
    <w:rsid w:val="00736D7D"/>
    <w:rsid w:val="007370F1"/>
    <w:rsid w:val="007374F9"/>
    <w:rsid w:val="00737564"/>
    <w:rsid w:val="0074063A"/>
    <w:rsid w:val="00740E58"/>
    <w:rsid w:val="00741368"/>
    <w:rsid w:val="007427AE"/>
    <w:rsid w:val="00743021"/>
    <w:rsid w:val="007445A0"/>
    <w:rsid w:val="00744AE2"/>
    <w:rsid w:val="007451E7"/>
    <w:rsid w:val="0074524B"/>
    <w:rsid w:val="00746608"/>
    <w:rsid w:val="00746CE2"/>
    <w:rsid w:val="00746EAC"/>
    <w:rsid w:val="007471D5"/>
    <w:rsid w:val="00747240"/>
    <w:rsid w:val="007474A3"/>
    <w:rsid w:val="00747D8B"/>
    <w:rsid w:val="00751228"/>
    <w:rsid w:val="00752940"/>
    <w:rsid w:val="00752C50"/>
    <w:rsid w:val="007540AD"/>
    <w:rsid w:val="007543CB"/>
    <w:rsid w:val="00754A21"/>
    <w:rsid w:val="00755EC7"/>
    <w:rsid w:val="007562A2"/>
    <w:rsid w:val="00756F2A"/>
    <w:rsid w:val="007571E1"/>
    <w:rsid w:val="007575D7"/>
    <w:rsid w:val="00757F5E"/>
    <w:rsid w:val="00760232"/>
    <w:rsid w:val="007602E4"/>
    <w:rsid w:val="007604B2"/>
    <w:rsid w:val="00760C05"/>
    <w:rsid w:val="007619D7"/>
    <w:rsid w:val="007623FB"/>
    <w:rsid w:val="00763875"/>
    <w:rsid w:val="00763B30"/>
    <w:rsid w:val="00764724"/>
    <w:rsid w:val="00764CB3"/>
    <w:rsid w:val="00765281"/>
    <w:rsid w:val="00766BAD"/>
    <w:rsid w:val="00767A7E"/>
    <w:rsid w:val="00770099"/>
    <w:rsid w:val="00770226"/>
    <w:rsid w:val="00770CB1"/>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3"/>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E1"/>
    <w:rsid w:val="007925EA"/>
    <w:rsid w:val="00792975"/>
    <w:rsid w:val="007929C8"/>
    <w:rsid w:val="00793339"/>
    <w:rsid w:val="0079394A"/>
    <w:rsid w:val="00793CD8"/>
    <w:rsid w:val="00794596"/>
    <w:rsid w:val="007946EA"/>
    <w:rsid w:val="00794C40"/>
    <w:rsid w:val="00795903"/>
    <w:rsid w:val="00795C92"/>
    <w:rsid w:val="00797AFF"/>
    <w:rsid w:val="00797D03"/>
    <w:rsid w:val="007A0313"/>
    <w:rsid w:val="007A0E6E"/>
    <w:rsid w:val="007A1C92"/>
    <w:rsid w:val="007A1CB3"/>
    <w:rsid w:val="007A23F2"/>
    <w:rsid w:val="007A2553"/>
    <w:rsid w:val="007A27AD"/>
    <w:rsid w:val="007A306F"/>
    <w:rsid w:val="007A43A6"/>
    <w:rsid w:val="007A4FF4"/>
    <w:rsid w:val="007A58A6"/>
    <w:rsid w:val="007A5EED"/>
    <w:rsid w:val="007A5F0C"/>
    <w:rsid w:val="007A61D2"/>
    <w:rsid w:val="007A6261"/>
    <w:rsid w:val="007A6495"/>
    <w:rsid w:val="007A6F2F"/>
    <w:rsid w:val="007A7053"/>
    <w:rsid w:val="007B29DB"/>
    <w:rsid w:val="007B3D2D"/>
    <w:rsid w:val="007B437F"/>
    <w:rsid w:val="007B485F"/>
    <w:rsid w:val="007B50AE"/>
    <w:rsid w:val="007B51DF"/>
    <w:rsid w:val="007B54DB"/>
    <w:rsid w:val="007B5C47"/>
    <w:rsid w:val="007B6B74"/>
    <w:rsid w:val="007B75D5"/>
    <w:rsid w:val="007B7712"/>
    <w:rsid w:val="007B7875"/>
    <w:rsid w:val="007C0476"/>
    <w:rsid w:val="007C05DD"/>
    <w:rsid w:val="007C0F90"/>
    <w:rsid w:val="007C13CB"/>
    <w:rsid w:val="007C1947"/>
    <w:rsid w:val="007C19C1"/>
    <w:rsid w:val="007C22DA"/>
    <w:rsid w:val="007C28B9"/>
    <w:rsid w:val="007C2B96"/>
    <w:rsid w:val="007C2E46"/>
    <w:rsid w:val="007C3D18"/>
    <w:rsid w:val="007C459E"/>
    <w:rsid w:val="007C4B39"/>
    <w:rsid w:val="007C60BF"/>
    <w:rsid w:val="007C61AB"/>
    <w:rsid w:val="007C6A07"/>
    <w:rsid w:val="007C75A1"/>
    <w:rsid w:val="007C77A5"/>
    <w:rsid w:val="007C7843"/>
    <w:rsid w:val="007D0217"/>
    <w:rsid w:val="007D04E5"/>
    <w:rsid w:val="007D08CC"/>
    <w:rsid w:val="007D0DA5"/>
    <w:rsid w:val="007D0DDC"/>
    <w:rsid w:val="007D1E22"/>
    <w:rsid w:val="007D261C"/>
    <w:rsid w:val="007D28AC"/>
    <w:rsid w:val="007D400F"/>
    <w:rsid w:val="007D5247"/>
    <w:rsid w:val="007D5809"/>
    <w:rsid w:val="007D5901"/>
    <w:rsid w:val="007D6354"/>
    <w:rsid w:val="007D65F7"/>
    <w:rsid w:val="007D6C7C"/>
    <w:rsid w:val="007D7526"/>
    <w:rsid w:val="007E252D"/>
    <w:rsid w:val="007E2FA0"/>
    <w:rsid w:val="007E3BB3"/>
    <w:rsid w:val="007E3EF5"/>
    <w:rsid w:val="007E42A4"/>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11D"/>
    <w:rsid w:val="007F4904"/>
    <w:rsid w:val="007F5988"/>
    <w:rsid w:val="007F7F41"/>
    <w:rsid w:val="0080009E"/>
    <w:rsid w:val="0080034A"/>
    <w:rsid w:val="0080079E"/>
    <w:rsid w:val="008008A2"/>
    <w:rsid w:val="00800A4C"/>
    <w:rsid w:val="00800C70"/>
    <w:rsid w:val="00801562"/>
    <w:rsid w:val="0080187F"/>
    <w:rsid w:val="00801CC4"/>
    <w:rsid w:val="0080253D"/>
    <w:rsid w:val="00802DEB"/>
    <w:rsid w:val="0080325D"/>
    <w:rsid w:val="00803546"/>
    <w:rsid w:val="008036C5"/>
    <w:rsid w:val="00803FAE"/>
    <w:rsid w:val="00805143"/>
    <w:rsid w:val="008052C1"/>
    <w:rsid w:val="00805309"/>
    <w:rsid w:val="00805927"/>
    <w:rsid w:val="0080605F"/>
    <w:rsid w:val="00807786"/>
    <w:rsid w:val="008101B0"/>
    <w:rsid w:val="008115C7"/>
    <w:rsid w:val="00811A36"/>
    <w:rsid w:val="00811FCB"/>
    <w:rsid w:val="008125BB"/>
    <w:rsid w:val="008129EC"/>
    <w:rsid w:val="00812B68"/>
    <w:rsid w:val="00812CE9"/>
    <w:rsid w:val="0081333C"/>
    <w:rsid w:val="00813D91"/>
    <w:rsid w:val="008143BB"/>
    <w:rsid w:val="00814AD5"/>
    <w:rsid w:val="00814F7B"/>
    <w:rsid w:val="0081510B"/>
    <w:rsid w:val="00815112"/>
    <w:rsid w:val="00815681"/>
    <w:rsid w:val="008156D5"/>
    <w:rsid w:val="008158D6"/>
    <w:rsid w:val="00815979"/>
    <w:rsid w:val="0081598F"/>
    <w:rsid w:val="00817196"/>
    <w:rsid w:val="0081757C"/>
    <w:rsid w:val="00817B13"/>
    <w:rsid w:val="00820715"/>
    <w:rsid w:val="00821169"/>
    <w:rsid w:val="008213E6"/>
    <w:rsid w:val="008216C3"/>
    <w:rsid w:val="00821960"/>
    <w:rsid w:val="00821C42"/>
    <w:rsid w:val="008224EA"/>
    <w:rsid w:val="008235DB"/>
    <w:rsid w:val="008240DA"/>
    <w:rsid w:val="0082461E"/>
    <w:rsid w:val="00824AB4"/>
    <w:rsid w:val="00825C42"/>
    <w:rsid w:val="00825D25"/>
    <w:rsid w:val="00825D9F"/>
    <w:rsid w:val="00825EEF"/>
    <w:rsid w:val="00825F51"/>
    <w:rsid w:val="00826093"/>
    <w:rsid w:val="00826FF8"/>
    <w:rsid w:val="0082775D"/>
    <w:rsid w:val="00827CAB"/>
    <w:rsid w:val="00827D6F"/>
    <w:rsid w:val="00830677"/>
    <w:rsid w:val="00830E87"/>
    <w:rsid w:val="0083207E"/>
    <w:rsid w:val="008326C1"/>
    <w:rsid w:val="008328DA"/>
    <w:rsid w:val="0083391C"/>
    <w:rsid w:val="00834C82"/>
    <w:rsid w:val="00835651"/>
    <w:rsid w:val="0083565C"/>
    <w:rsid w:val="00835837"/>
    <w:rsid w:val="0083659B"/>
    <w:rsid w:val="008376AC"/>
    <w:rsid w:val="0083778B"/>
    <w:rsid w:val="008403B3"/>
    <w:rsid w:val="00840F75"/>
    <w:rsid w:val="008412AD"/>
    <w:rsid w:val="00841446"/>
    <w:rsid w:val="00841916"/>
    <w:rsid w:val="008427B2"/>
    <w:rsid w:val="00842A83"/>
    <w:rsid w:val="00842B22"/>
    <w:rsid w:val="00843140"/>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561"/>
    <w:rsid w:val="008529CC"/>
    <w:rsid w:val="00854DF6"/>
    <w:rsid w:val="008562EE"/>
    <w:rsid w:val="0085639A"/>
    <w:rsid w:val="00856476"/>
    <w:rsid w:val="0085648F"/>
    <w:rsid w:val="008568F5"/>
    <w:rsid w:val="00856911"/>
    <w:rsid w:val="008569B3"/>
    <w:rsid w:val="00857C50"/>
    <w:rsid w:val="008601DF"/>
    <w:rsid w:val="0086064C"/>
    <w:rsid w:val="0086099B"/>
    <w:rsid w:val="0086143D"/>
    <w:rsid w:val="0086143F"/>
    <w:rsid w:val="00861B66"/>
    <w:rsid w:val="0086242F"/>
    <w:rsid w:val="00862B9A"/>
    <w:rsid w:val="00863537"/>
    <w:rsid w:val="00863C5D"/>
    <w:rsid w:val="00863D38"/>
    <w:rsid w:val="0086425C"/>
    <w:rsid w:val="00864588"/>
    <w:rsid w:val="00864DC3"/>
    <w:rsid w:val="00865F3B"/>
    <w:rsid w:val="0086607D"/>
    <w:rsid w:val="008669E1"/>
    <w:rsid w:val="00866E1D"/>
    <w:rsid w:val="0086709A"/>
    <w:rsid w:val="008677FD"/>
    <w:rsid w:val="00867981"/>
    <w:rsid w:val="00867B26"/>
    <w:rsid w:val="0087055F"/>
    <w:rsid w:val="008705D4"/>
    <w:rsid w:val="008706D4"/>
    <w:rsid w:val="00870F8A"/>
    <w:rsid w:val="00871364"/>
    <w:rsid w:val="008719A4"/>
    <w:rsid w:val="00871D23"/>
    <w:rsid w:val="00871D26"/>
    <w:rsid w:val="00871FBC"/>
    <w:rsid w:val="00872321"/>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8A7"/>
    <w:rsid w:val="00880FCF"/>
    <w:rsid w:val="00881595"/>
    <w:rsid w:val="00881CDD"/>
    <w:rsid w:val="00882349"/>
    <w:rsid w:val="00883005"/>
    <w:rsid w:val="008844C2"/>
    <w:rsid w:val="008846AC"/>
    <w:rsid w:val="008848F9"/>
    <w:rsid w:val="00884A2F"/>
    <w:rsid w:val="0088602A"/>
    <w:rsid w:val="008862CE"/>
    <w:rsid w:val="00886D00"/>
    <w:rsid w:val="00886D44"/>
    <w:rsid w:val="00886F61"/>
    <w:rsid w:val="008876F4"/>
    <w:rsid w:val="00887B43"/>
    <w:rsid w:val="00890412"/>
    <w:rsid w:val="0089069E"/>
    <w:rsid w:val="008907CA"/>
    <w:rsid w:val="00891245"/>
    <w:rsid w:val="008913FE"/>
    <w:rsid w:val="00891DA1"/>
    <w:rsid w:val="00892CFF"/>
    <w:rsid w:val="0089347C"/>
    <w:rsid w:val="008936BA"/>
    <w:rsid w:val="008936C0"/>
    <w:rsid w:val="008947E4"/>
    <w:rsid w:val="00894A88"/>
    <w:rsid w:val="00895310"/>
    <w:rsid w:val="00895386"/>
    <w:rsid w:val="00896985"/>
    <w:rsid w:val="0089757A"/>
    <w:rsid w:val="00897A60"/>
    <w:rsid w:val="008A0210"/>
    <w:rsid w:val="008A08E0"/>
    <w:rsid w:val="008A0B24"/>
    <w:rsid w:val="008A0B9C"/>
    <w:rsid w:val="008A166F"/>
    <w:rsid w:val="008A1D96"/>
    <w:rsid w:val="008A21FF"/>
    <w:rsid w:val="008A2BBE"/>
    <w:rsid w:val="008A2CE2"/>
    <w:rsid w:val="008A30AC"/>
    <w:rsid w:val="008A30BD"/>
    <w:rsid w:val="008A3AE2"/>
    <w:rsid w:val="008A3C17"/>
    <w:rsid w:val="008A4275"/>
    <w:rsid w:val="008A427D"/>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2AA5"/>
    <w:rsid w:val="008B45A3"/>
    <w:rsid w:val="008B4D4B"/>
    <w:rsid w:val="008B4F75"/>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2D52"/>
    <w:rsid w:val="008C3A3B"/>
    <w:rsid w:val="008C3D46"/>
    <w:rsid w:val="008C48F8"/>
    <w:rsid w:val="008C4958"/>
    <w:rsid w:val="008C4BAA"/>
    <w:rsid w:val="008C4D22"/>
    <w:rsid w:val="008C53AF"/>
    <w:rsid w:val="008C636D"/>
    <w:rsid w:val="008C6AE8"/>
    <w:rsid w:val="008C6CF7"/>
    <w:rsid w:val="008C7573"/>
    <w:rsid w:val="008C7D4E"/>
    <w:rsid w:val="008C7F2C"/>
    <w:rsid w:val="008C7F46"/>
    <w:rsid w:val="008D114A"/>
    <w:rsid w:val="008D11D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E7B8F"/>
    <w:rsid w:val="008F0A25"/>
    <w:rsid w:val="008F197A"/>
    <w:rsid w:val="008F19BC"/>
    <w:rsid w:val="008F1EAB"/>
    <w:rsid w:val="008F2F89"/>
    <w:rsid w:val="008F33DC"/>
    <w:rsid w:val="008F37D2"/>
    <w:rsid w:val="008F4050"/>
    <w:rsid w:val="008F4449"/>
    <w:rsid w:val="008F477F"/>
    <w:rsid w:val="008F4E02"/>
    <w:rsid w:val="008F6075"/>
    <w:rsid w:val="008F6BDC"/>
    <w:rsid w:val="008F6F19"/>
    <w:rsid w:val="008F7390"/>
    <w:rsid w:val="00900CA0"/>
    <w:rsid w:val="0090151D"/>
    <w:rsid w:val="009015A5"/>
    <w:rsid w:val="00902491"/>
    <w:rsid w:val="00902553"/>
    <w:rsid w:val="00902BDA"/>
    <w:rsid w:val="00902E62"/>
    <w:rsid w:val="0090336B"/>
    <w:rsid w:val="00903880"/>
    <w:rsid w:val="00903AB3"/>
    <w:rsid w:val="00903F57"/>
    <w:rsid w:val="00904602"/>
    <w:rsid w:val="00904F5D"/>
    <w:rsid w:val="00905214"/>
    <w:rsid w:val="00905285"/>
    <w:rsid w:val="009053AA"/>
    <w:rsid w:val="00905561"/>
    <w:rsid w:val="00906431"/>
    <w:rsid w:val="0090644F"/>
    <w:rsid w:val="00906481"/>
    <w:rsid w:val="00906939"/>
    <w:rsid w:val="00906A8B"/>
    <w:rsid w:val="00906C12"/>
    <w:rsid w:val="00906D24"/>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5CD"/>
    <w:rsid w:val="00920BF2"/>
    <w:rsid w:val="00921221"/>
    <w:rsid w:val="0092137F"/>
    <w:rsid w:val="00922010"/>
    <w:rsid w:val="0092265D"/>
    <w:rsid w:val="009226F0"/>
    <w:rsid w:val="0092270D"/>
    <w:rsid w:val="0092272E"/>
    <w:rsid w:val="009237EC"/>
    <w:rsid w:val="00923BD4"/>
    <w:rsid w:val="009243CE"/>
    <w:rsid w:val="0092533B"/>
    <w:rsid w:val="0092560F"/>
    <w:rsid w:val="00925878"/>
    <w:rsid w:val="00925CBD"/>
    <w:rsid w:val="00927AAE"/>
    <w:rsid w:val="00931989"/>
    <w:rsid w:val="00931BA1"/>
    <w:rsid w:val="00931BD9"/>
    <w:rsid w:val="00932130"/>
    <w:rsid w:val="00932952"/>
    <w:rsid w:val="00933367"/>
    <w:rsid w:val="00933E80"/>
    <w:rsid w:val="00934396"/>
    <w:rsid w:val="009349BB"/>
    <w:rsid w:val="00935A7F"/>
    <w:rsid w:val="00940AF1"/>
    <w:rsid w:val="00940C00"/>
    <w:rsid w:val="00941636"/>
    <w:rsid w:val="00942743"/>
    <w:rsid w:val="00942C6D"/>
    <w:rsid w:val="00942D57"/>
    <w:rsid w:val="009433F1"/>
    <w:rsid w:val="009436AF"/>
    <w:rsid w:val="00943742"/>
    <w:rsid w:val="00943A35"/>
    <w:rsid w:val="00943B3D"/>
    <w:rsid w:val="0094403B"/>
    <w:rsid w:val="00944A5E"/>
    <w:rsid w:val="0094503B"/>
    <w:rsid w:val="009455CF"/>
    <w:rsid w:val="00945630"/>
    <w:rsid w:val="00945C05"/>
    <w:rsid w:val="00946815"/>
    <w:rsid w:val="00946945"/>
    <w:rsid w:val="00947713"/>
    <w:rsid w:val="0094782B"/>
    <w:rsid w:val="00947CC8"/>
    <w:rsid w:val="00947CF0"/>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6BE"/>
    <w:rsid w:val="009559ED"/>
    <w:rsid w:val="0095681E"/>
    <w:rsid w:val="00956901"/>
    <w:rsid w:val="009572D4"/>
    <w:rsid w:val="009615FF"/>
    <w:rsid w:val="00961921"/>
    <w:rsid w:val="0096240B"/>
    <w:rsid w:val="0096355B"/>
    <w:rsid w:val="00963BD3"/>
    <w:rsid w:val="00963BF5"/>
    <w:rsid w:val="00963C1E"/>
    <w:rsid w:val="0096430A"/>
    <w:rsid w:val="00964464"/>
    <w:rsid w:val="0096475B"/>
    <w:rsid w:val="0096554B"/>
    <w:rsid w:val="0096584A"/>
    <w:rsid w:val="00965A4F"/>
    <w:rsid w:val="00965BD7"/>
    <w:rsid w:val="00965E61"/>
    <w:rsid w:val="00967013"/>
    <w:rsid w:val="00967176"/>
    <w:rsid w:val="0096766E"/>
    <w:rsid w:val="00970E4E"/>
    <w:rsid w:val="009713D9"/>
    <w:rsid w:val="00971837"/>
    <w:rsid w:val="0097188B"/>
    <w:rsid w:val="00971A83"/>
    <w:rsid w:val="00971CA8"/>
    <w:rsid w:val="00971F08"/>
    <w:rsid w:val="00972109"/>
    <w:rsid w:val="009724A8"/>
    <w:rsid w:val="009727F4"/>
    <w:rsid w:val="00972E1B"/>
    <w:rsid w:val="009741D9"/>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480"/>
    <w:rsid w:val="00986635"/>
    <w:rsid w:val="009866A1"/>
    <w:rsid w:val="00986C5B"/>
    <w:rsid w:val="009870B6"/>
    <w:rsid w:val="00987F9C"/>
    <w:rsid w:val="009900E5"/>
    <w:rsid w:val="00990194"/>
    <w:rsid w:val="00990630"/>
    <w:rsid w:val="0099093F"/>
    <w:rsid w:val="00990B5A"/>
    <w:rsid w:val="00991761"/>
    <w:rsid w:val="0099235B"/>
    <w:rsid w:val="00992C14"/>
    <w:rsid w:val="00992CDF"/>
    <w:rsid w:val="00993321"/>
    <w:rsid w:val="00993734"/>
    <w:rsid w:val="00993D8D"/>
    <w:rsid w:val="00994309"/>
    <w:rsid w:val="00994B02"/>
    <w:rsid w:val="00994DCA"/>
    <w:rsid w:val="009955D8"/>
    <w:rsid w:val="00995692"/>
    <w:rsid w:val="00995B06"/>
    <w:rsid w:val="0099603E"/>
    <w:rsid w:val="009965BD"/>
    <w:rsid w:val="00996BDC"/>
    <w:rsid w:val="009970DD"/>
    <w:rsid w:val="009A000F"/>
    <w:rsid w:val="009A005D"/>
    <w:rsid w:val="009A0FAB"/>
    <w:rsid w:val="009A0FBA"/>
    <w:rsid w:val="009A13D5"/>
    <w:rsid w:val="009A1601"/>
    <w:rsid w:val="009A1C6E"/>
    <w:rsid w:val="009A1F67"/>
    <w:rsid w:val="009A24C8"/>
    <w:rsid w:val="009A257B"/>
    <w:rsid w:val="009A2F3C"/>
    <w:rsid w:val="009A360F"/>
    <w:rsid w:val="009A3E2C"/>
    <w:rsid w:val="009A42E3"/>
    <w:rsid w:val="009A462D"/>
    <w:rsid w:val="009A5537"/>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97C"/>
    <w:rsid w:val="009B6F63"/>
    <w:rsid w:val="009B6F97"/>
    <w:rsid w:val="009B7AA5"/>
    <w:rsid w:val="009B7ADC"/>
    <w:rsid w:val="009B7B75"/>
    <w:rsid w:val="009B7E87"/>
    <w:rsid w:val="009C0587"/>
    <w:rsid w:val="009C273D"/>
    <w:rsid w:val="009C2DAB"/>
    <w:rsid w:val="009C30B2"/>
    <w:rsid w:val="009C3D9C"/>
    <w:rsid w:val="009C403E"/>
    <w:rsid w:val="009C48A3"/>
    <w:rsid w:val="009C4923"/>
    <w:rsid w:val="009C50D1"/>
    <w:rsid w:val="009C5410"/>
    <w:rsid w:val="009C5948"/>
    <w:rsid w:val="009C5A31"/>
    <w:rsid w:val="009C62EF"/>
    <w:rsid w:val="009C6698"/>
    <w:rsid w:val="009C742A"/>
    <w:rsid w:val="009C78AC"/>
    <w:rsid w:val="009D0D69"/>
    <w:rsid w:val="009D111B"/>
    <w:rsid w:val="009D1829"/>
    <w:rsid w:val="009D2044"/>
    <w:rsid w:val="009D2584"/>
    <w:rsid w:val="009D2ACB"/>
    <w:rsid w:val="009D345E"/>
    <w:rsid w:val="009D34E4"/>
    <w:rsid w:val="009D378A"/>
    <w:rsid w:val="009D492B"/>
    <w:rsid w:val="009D4D49"/>
    <w:rsid w:val="009D4F5A"/>
    <w:rsid w:val="009D4FF0"/>
    <w:rsid w:val="009D5262"/>
    <w:rsid w:val="009D5BB6"/>
    <w:rsid w:val="009D62ED"/>
    <w:rsid w:val="009D67C7"/>
    <w:rsid w:val="009D6E2F"/>
    <w:rsid w:val="009D703C"/>
    <w:rsid w:val="009D718F"/>
    <w:rsid w:val="009D7788"/>
    <w:rsid w:val="009D7DDD"/>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1E4E"/>
    <w:rsid w:val="009F2089"/>
    <w:rsid w:val="009F21E0"/>
    <w:rsid w:val="009F2AE7"/>
    <w:rsid w:val="009F2AF7"/>
    <w:rsid w:val="009F2B2C"/>
    <w:rsid w:val="009F2B6A"/>
    <w:rsid w:val="009F2E03"/>
    <w:rsid w:val="009F344F"/>
    <w:rsid w:val="009F3A36"/>
    <w:rsid w:val="009F3B1B"/>
    <w:rsid w:val="009F5DFC"/>
    <w:rsid w:val="009F6C5F"/>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360"/>
    <w:rsid w:val="00A10FBB"/>
    <w:rsid w:val="00A110BC"/>
    <w:rsid w:val="00A11BA9"/>
    <w:rsid w:val="00A11E3B"/>
    <w:rsid w:val="00A12492"/>
    <w:rsid w:val="00A12EE5"/>
    <w:rsid w:val="00A13DD6"/>
    <w:rsid w:val="00A13E54"/>
    <w:rsid w:val="00A1420D"/>
    <w:rsid w:val="00A142BD"/>
    <w:rsid w:val="00A144B1"/>
    <w:rsid w:val="00A146B8"/>
    <w:rsid w:val="00A147FB"/>
    <w:rsid w:val="00A149B8"/>
    <w:rsid w:val="00A164E3"/>
    <w:rsid w:val="00A16D7C"/>
    <w:rsid w:val="00A16EE6"/>
    <w:rsid w:val="00A17F63"/>
    <w:rsid w:val="00A200EF"/>
    <w:rsid w:val="00A20E4F"/>
    <w:rsid w:val="00A2149F"/>
    <w:rsid w:val="00A214F4"/>
    <w:rsid w:val="00A2162A"/>
    <w:rsid w:val="00A21734"/>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04F"/>
    <w:rsid w:val="00A27785"/>
    <w:rsid w:val="00A30187"/>
    <w:rsid w:val="00A30C0E"/>
    <w:rsid w:val="00A31945"/>
    <w:rsid w:val="00A319C8"/>
    <w:rsid w:val="00A33041"/>
    <w:rsid w:val="00A33EF5"/>
    <w:rsid w:val="00A34314"/>
    <w:rsid w:val="00A3448A"/>
    <w:rsid w:val="00A347D9"/>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162"/>
    <w:rsid w:val="00A4665B"/>
    <w:rsid w:val="00A4678B"/>
    <w:rsid w:val="00A469EB"/>
    <w:rsid w:val="00A469ED"/>
    <w:rsid w:val="00A46A95"/>
    <w:rsid w:val="00A47A09"/>
    <w:rsid w:val="00A5007B"/>
    <w:rsid w:val="00A50156"/>
    <w:rsid w:val="00A50F41"/>
    <w:rsid w:val="00A5140E"/>
    <w:rsid w:val="00A51E32"/>
    <w:rsid w:val="00A51F20"/>
    <w:rsid w:val="00A51FE3"/>
    <w:rsid w:val="00A522DB"/>
    <w:rsid w:val="00A525A0"/>
    <w:rsid w:val="00A52B3E"/>
    <w:rsid w:val="00A52E1D"/>
    <w:rsid w:val="00A52F16"/>
    <w:rsid w:val="00A5341A"/>
    <w:rsid w:val="00A54350"/>
    <w:rsid w:val="00A54361"/>
    <w:rsid w:val="00A55EE6"/>
    <w:rsid w:val="00A56674"/>
    <w:rsid w:val="00A56FF6"/>
    <w:rsid w:val="00A601E5"/>
    <w:rsid w:val="00A60DBF"/>
    <w:rsid w:val="00A6126F"/>
    <w:rsid w:val="00A61499"/>
    <w:rsid w:val="00A62703"/>
    <w:rsid w:val="00A62C1F"/>
    <w:rsid w:val="00A63483"/>
    <w:rsid w:val="00A647D1"/>
    <w:rsid w:val="00A64DD4"/>
    <w:rsid w:val="00A65943"/>
    <w:rsid w:val="00A660AC"/>
    <w:rsid w:val="00A66584"/>
    <w:rsid w:val="00A66720"/>
    <w:rsid w:val="00A670EF"/>
    <w:rsid w:val="00A677A8"/>
    <w:rsid w:val="00A67D49"/>
    <w:rsid w:val="00A67E6C"/>
    <w:rsid w:val="00A716D3"/>
    <w:rsid w:val="00A71B99"/>
    <w:rsid w:val="00A71E0A"/>
    <w:rsid w:val="00A7210C"/>
    <w:rsid w:val="00A7246D"/>
    <w:rsid w:val="00A72E81"/>
    <w:rsid w:val="00A73989"/>
    <w:rsid w:val="00A739D0"/>
    <w:rsid w:val="00A73D7E"/>
    <w:rsid w:val="00A740D8"/>
    <w:rsid w:val="00A746CE"/>
    <w:rsid w:val="00A74F7D"/>
    <w:rsid w:val="00A754EE"/>
    <w:rsid w:val="00A761D4"/>
    <w:rsid w:val="00A773F0"/>
    <w:rsid w:val="00A776B4"/>
    <w:rsid w:val="00A777E9"/>
    <w:rsid w:val="00A77EC4"/>
    <w:rsid w:val="00A80633"/>
    <w:rsid w:val="00A81391"/>
    <w:rsid w:val="00A820C8"/>
    <w:rsid w:val="00A832F0"/>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9D7"/>
    <w:rsid w:val="00AB0338"/>
    <w:rsid w:val="00AB04D2"/>
    <w:rsid w:val="00AB0B02"/>
    <w:rsid w:val="00AB0BC8"/>
    <w:rsid w:val="00AB11CA"/>
    <w:rsid w:val="00AB1387"/>
    <w:rsid w:val="00AB14D9"/>
    <w:rsid w:val="00AB19C7"/>
    <w:rsid w:val="00AB1B76"/>
    <w:rsid w:val="00AB1C41"/>
    <w:rsid w:val="00AB3B29"/>
    <w:rsid w:val="00AB4AB8"/>
    <w:rsid w:val="00AB4BAA"/>
    <w:rsid w:val="00AB5469"/>
    <w:rsid w:val="00AB6030"/>
    <w:rsid w:val="00AB655E"/>
    <w:rsid w:val="00AB693B"/>
    <w:rsid w:val="00AB6EAE"/>
    <w:rsid w:val="00AB7435"/>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829"/>
    <w:rsid w:val="00AD3DC4"/>
    <w:rsid w:val="00AD3F94"/>
    <w:rsid w:val="00AD4389"/>
    <w:rsid w:val="00AD4A5A"/>
    <w:rsid w:val="00AD5247"/>
    <w:rsid w:val="00AD5F33"/>
    <w:rsid w:val="00AD6059"/>
    <w:rsid w:val="00AD748F"/>
    <w:rsid w:val="00AD7ABF"/>
    <w:rsid w:val="00AD7D2A"/>
    <w:rsid w:val="00AD7F4A"/>
    <w:rsid w:val="00AE0416"/>
    <w:rsid w:val="00AE04DC"/>
    <w:rsid w:val="00AE0A60"/>
    <w:rsid w:val="00AE150B"/>
    <w:rsid w:val="00AE1722"/>
    <w:rsid w:val="00AE1FE6"/>
    <w:rsid w:val="00AE27AC"/>
    <w:rsid w:val="00AE34E7"/>
    <w:rsid w:val="00AE360D"/>
    <w:rsid w:val="00AE39D2"/>
    <w:rsid w:val="00AE3B47"/>
    <w:rsid w:val="00AE3D3C"/>
    <w:rsid w:val="00AE3FA0"/>
    <w:rsid w:val="00AE40E0"/>
    <w:rsid w:val="00AE4DBA"/>
    <w:rsid w:val="00AE4F07"/>
    <w:rsid w:val="00AE5783"/>
    <w:rsid w:val="00AE71F0"/>
    <w:rsid w:val="00AE7707"/>
    <w:rsid w:val="00AF0B74"/>
    <w:rsid w:val="00AF1A84"/>
    <w:rsid w:val="00AF1C5D"/>
    <w:rsid w:val="00AF1E22"/>
    <w:rsid w:val="00AF271A"/>
    <w:rsid w:val="00AF3003"/>
    <w:rsid w:val="00AF3219"/>
    <w:rsid w:val="00AF42D7"/>
    <w:rsid w:val="00AF474B"/>
    <w:rsid w:val="00AF4AFF"/>
    <w:rsid w:val="00AF643F"/>
    <w:rsid w:val="00AF6DA0"/>
    <w:rsid w:val="00AF7DD1"/>
    <w:rsid w:val="00B0001F"/>
    <w:rsid w:val="00B0063A"/>
    <w:rsid w:val="00B006FE"/>
    <w:rsid w:val="00B007CB"/>
    <w:rsid w:val="00B00A65"/>
    <w:rsid w:val="00B02AA9"/>
    <w:rsid w:val="00B02D93"/>
    <w:rsid w:val="00B02E74"/>
    <w:rsid w:val="00B02FA3"/>
    <w:rsid w:val="00B03281"/>
    <w:rsid w:val="00B05084"/>
    <w:rsid w:val="00B0639D"/>
    <w:rsid w:val="00B069A9"/>
    <w:rsid w:val="00B0730C"/>
    <w:rsid w:val="00B10EEB"/>
    <w:rsid w:val="00B11379"/>
    <w:rsid w:val="00B11599"/>
    <w:rsid w:val="00B1177A"/>
    <w:rsid w:val="00B11D83"/>
    <w:rsid w:val="00B12447"/>
    <w:rsid w:val="00B12D38"/>
    <w:rsid w:val="00B132FF"/>
    <w:rsid w:val="00B138B1"/>
    <w:rsid w:val="00B143FA"/>
    <w:rsid w:val="00B146E4"/>
    <w:rsid w:val="00B15781"/>
    <w:rsid w:val="00B157F9"/>
    <w:rsid w:val="00B159ED"/>
    <w:rsid w:val="00B15DCA"/>
    <w:rsid w:val="00B16176"/>
    <w:rsid w:val="00B168FB"/>
    <w:rsid w:val="00B169C0"/>
    <w:rsid w:val="00B1729E"/>
    <w:rsid w:val="00B17846"/>
    <w:rsid w:val="00B17D61"/>
    <w:rsid w:val="00B200EB"/>
    <w:rsid w:val="00B20256"/>
    <w:rsid w:val="00B206FF"/>
    <w:rsid w:val="00B20D09"/>
    <w:rsid w:val="00B20DD9"/>
    <w:rsid w:val="00B21591"/>
    <w:rsid w:val="00B21D5E"/>
    <w:rsid w:val="00B223A0"/>
    <w:rsid w:val="00B22634"/>
    <w:rsid w:val="00B231A3"/>
    <w:rsid w:val="00B23755"/>
    <w:rsid w:val="00B23D38"/>
    <w:rsid w:val="00B23DBD"/>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6E3"/>
    <w:rsid w:val="00B34A46"/>
    <w:rsid w:val="00B35997"/>
    <w:rsid w:val="00B369CC"/>
    <w:rsid w:val="00B36F25"/>
    <w:rsid w:val="00B36F3A"/>
    <w:rsid w:val="00B372AA"/>
    <w:rsid w:val="00B3743D"/>
    <w:rsid w:val="00B40445"/>
    <w:rsid w:val="00B4045B"/>
    <w:rsid w:val="00B40E75"/>
    <w:rsid w:val="00B41888"/>
    <w:rsid w:val="00B4309F"/>
    <w:rsid w:val="00B44A42"/>
    <w:rsid w:val="00B44B37"/>
    <w:rsid w:val="00B452C9"/>
    <w:rsid w:val="00B45A52"/>
    <w:rsid w:val="00B46175"/>
    <w:rsid w:val="00B4682F"/>
    <w:rsid w:val="00B477B8"/>
    <w:rsid w:val="00B47803"/>
    <w:rsid w:val="00B4791A"/>
    <w:rsid w:val="00B47C29"/>
    <w:rsid w:val="00B47D21"/>
    <w:rsid w:val="00B51008"/>
    <w:rsid w:val="00B51031"/>
    <w:rsid w:val="00B51D73"/>
    <w:rsid w:val="00B52318"/>
    <w:rsid w:val="00B5286A"/>
    <w:rsid w:val="00B53485"/>
    <w:rsid w:val="00B537CE"/>
    <w:rsid w:val="00B54858"/>
    <w:rsid w:val="00B55E5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C58"/>
    <w:rsid w:val="00B70F94"/>
    <w:rsid w:val="00B7285B"/>
    <w:rsid w:val="00B72868"/>
    <w:rsid w:val="00B7331C"/>
    <w:rsid w:val="00B73583"/>
    <w:rsid w:val="00B739F6"/>
    <w:rsid w:val="00B7616C"/>
    <w:rsid w:val="00B76D2A"/>
    <w:rsid w:val="00B777F2"/>
    <w:rsid w:val="00B77FFB"/>
    <w:rsid w:val="00B81A7B"/>
    <w:rsid w:val="00B81FF6"/>
    <w:rsid w:val="00B8209E"/>
    <w:rsid w:val="00B83278"/>
    <w:rsid w:val="00B84512"/>
    <w:rsid w:val="00B84C08"/>
    <w:rsid w:val="00B85203"/>
    <w:rsid w:val="00B852E5"/>
    <w:rsid w:val="00B8565C"/>
    <w:rsid w:val="00B85920"/>
    <w:rsid w:val="00B85DE5"/>
    <w:rsid w:val="00B85F55"/>
    <w:rsid w:val="00B85F9D"/>
    <w:rsid w:val="00B863E8"/>
    <w:rsid w:val="00B86526"/>
    <w:rsid w:val="00B866B2"/>
    <w:rsid w:val="00B9021E"/>
    <w:rsid w:val="00B909B5"/>
    <w:rsid w:val="00B90BFF"/>
    <w:rsid w:val="00B90F73"/>
    <w:rsid w:val="00B911CA"/>
    <w:rsid w:val="00B91449"/>
    <w:rsid w:val="00B915F9"/>
    <w:rsid w:val="00B917F9"/>
    <w:rsid w:val="00B92445"/>
    <w:rsid w:val="00B92CED"/>
    <w:rsid w:val="00B92FF8"/>
    <w:rsid w:val="00B93454"/>
    <w:rsid w:val="00B935A7"/>
    <w:rsid w:val="00B93A56"/>
    <w:rsid w:val="00B93B59"/>
    <w:rsid w:val="00B93E70"/>
    <w:rsid w:val="00B9406A"/>
    <w:rsid w:val="00B94676"/>
    <w:rsid w:val="00B94CF9"/>
    <w:rsid w:val="00B95811"/>
    <w:rsid w:val="00B95DF2"/>
    <w:rsid w:val="00B97BB4"/>
    <w:rsid w:val="00B97C21"/>
    <w:rsid w:val="00B97D91"/>
    <w:rsid w:val="00B97EC2"/>
    <w:rsid w:val="00BA08A3"/>
    <w:rsid w:val="00BA18EF"/>
    <w:rsid w:val="00BA1EFD"/>
    <w:rsid w:val="00BA2280"/>
    <w:rsid w:val="00BA2A08"/>
    <w:rsid w:val="00BA33E1"/>
    <w:rsid w:val="00BA4217"/>
    <w:rsid w:val="00BA4E8B"/>
    <w:rsid w:val="00BA5484"/>
    <w:rsid w:val="00BA56D2"/>
    <w:rsid w:val="00BA5887"/>
    <w:rsid w:val="00BA58F5"/>
    <w:rsid w:val="00BA5A3D"/>
    <w:rsid w:val="00BA6F23"/>
    <w:rsid w:val="00BA70BB"/>
    <w:rsid w:val="00BA76E0"/>
    <w:rsid w:val="00BB0A24"/>
    <w:rsid w:val="00BB0DE4"/>
    <w:rsid w:val="00BB18AF"/>
    <w:rsid w:val="00BB1B23"/>
    <w:rsid w:val="00BB21B4"/>
    <w:rsid w:val="00BB2863"/>
    <w:rsid w:val="00BB2A25"/>
    <w:rsid w:val="00BB2B8E"/>
    <w:rsid w:val="00BB2BED"/>
    <w:rsid w:val="00BB30F3"/>
    <w:rsid w:val="00BB4C7B"/>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657D"/>
    <w:rsid w:val="00BD7061"/>
    <w:rsid w:val="00BD7DE3"/>
    <w:rsid w:val="00BE079A"/>
    <w:rsid w:val="00BE0E9E"/>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541E"/>
    <w:rsid w:val="00BF6454"/>
    <w:rsid w:val="00BF6EEA"/>
    <w:rsid w:val="00BF74C7"/>
    <w:rsid w:val="00C00CCF"/>
    <w:rsid w:val="00C014D9"/>
    <w:rsid w:val="00C015F1"/>
    <w:rsid w:val="00C01F33"/>
    <w:rsid w:val="00C0209C"/>
    <w:rsid w:val="00C02309"/>
    <w:rsid w:val="00C02CC6"/>
    <w:rsid w:val="00C03155"/>
    <w:rsid w:val="00C0342D"/>
    <w:rsid w:val="00C035C2"/>
    <w:rsid w:val="00C0363A"/>
    <w:rsid w:val="00C040F7"/>
    <w:rsid w:val="00C044AB"/>
    <w:rsid w:val="00C04C9F"/>
    <w:rsid w:val="00C05458"/>
    <w:rsid w:val="00C05706"/>
    <w:rsid w:val="00C06071"/>
    <w:rsid w:val="00C068AE"/>
    <w:rsid w:val="00C07377"/>
    <w:rsid w:val="00C10478"/>
    <w:rsid w:val="00C109BC"/>
    <w:rsid w:val="00C11103"/>
    <w:rsid w:val="00C11633"/>
    <w:rsid w:val="00C11E79"/>
    <w:rsid w:val="00C12107"/>
    <w:rsid w:val="00C130AC"/>
    <w:rsid w:val="00C13962"/>
    <w:rsid w:val="00C14D4B"/>
    <w:rsid w:val="00C154BB"/>
    <w:rsid w:val="00C15D1A"/>
    <w:rsid w:val="00C1608A"/>
    <w:rsid w:val="00C16757"/>
    <w:rsid w:val="00C17316"/>
    <w:rsid w:val="00C226CD"/>
    <w:rsid w:val="00C23EAD"/>
    <w:rsid w:val="00C24AA4"/>
    <w:rsid w:val="00C24D21"/>
    <w:rsid w:val="00C26007"/>
    <w:rsid w:val="00C261BB"/>
    <w:rsid w:val="00C26B3A"/>
    <w:rsid w:val="00C26E0E"/>
    <w:rsid w:val="00C279B5"/>
    <w:rsid w:val="00C27B5A"/>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372"/>
    <w:rsid w:val="00C4082F"/>
    <w:rsid w:val="00C41535"/>
    <w:rsid w:val="00C41EB7"/>
    <w:rsid w:val="00C43A6C"/>
    <w:rsid w:val="00C43E3F"/>
    <w:rsid w:val="00C43FCC"/>
    <w:rsid w:val="00C44972"/>
    <w:rsid w:val="00C45739"/>
    <w:rsid w:val="00C45F08"/>
    <w:rsid w:val="00C46B7B"/>
    <w:rsid w:val="00C500B5"/>
    <w:rsid w:val="00C5010D"/>
    <w:rsid w:val="00C5097D"/>
    <w:rsid w:val="00C50B13"/>
    <w:rsid w:val="00C50BA6"/>
    <w:rsid w:val="00C51281"/>
    <w:rsid w:val="00C5269D"/>
    <w:rsid w:val="00C52B72"/>
    <w:rsid w:val="00C537C2"/>
    <w:rsid w:val="00C53A37"/>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408"/>
    <w:rsid w:val="00C64672"/>
    <w:rsid w:val="00C649E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3E1"/>
    <w:rsid w:val="00C73EC4"/>
    <w:rsid w:val="00C7412A"/>
    <w:rsid w:val="00C754E8"/>
    <w:rsid w:val="00C7556C"/>
    <w:rsid w:val="00C755E3"/>
    <w:rsid w:val="00C75D2F"/>
    <w:rsid w:val="00C76D90"/>
    <w:rsid w:val="00C76E3C"/>
    <w:rsid w:val="00C77624"/>
    <w:rsid w:val="00C8085D"/>
    <w:rsid w:val="00C80BE1"/>
    <w:rsid w:val="00C8147E"/>
    <w:rsid w:val="00C81568"/>
    <w:rsid w:val="00C81BA8"/>
    <w:rsid w:val="00C82387"/>
    <w:rsid w:val="00C82773"/>
    <w:rsid w:val="00C82DFE"/>
    <w:rsid w:val="00C830E3"/>
    <w:rsid w:val="00C846BE"/>
    <w:rsid w:val="00C84C4B"/>
    <w:rsid w:val="00C857B3"/>
    <w:rsid w:val="00C85976"/>
    <w:rsid w:val="00C85DC0"/>
    <w:rsid w:val="00C860EE"/>
    <w:rsid w:val="00C86CFF"/>
    <w:rsid w:val="00C87ACE"/>
    <w:rsid w:val="00C87AD6"/>
    <w:rsid w:val="00C87B8F"/>
    <w:rsid w:val="00C9002C"/>
    <w:rsid w:val="00C9027A"/>
    <w:rsid w:val="00C9068E"/>
    <w:rsid w:val="00C90B1C"/>
    <w:rsid w:val="00C91176"/>
    <w:rsid w:val="00C929F7"/>
    <w:rsid w:val="00C93490"/>
    <w:rsid w:val="00C93BC6"/>
    <w:rsid w:val="00C93C4B"/>
    <w:rsid w:val="00C94083"/>
    <w:rsid w:val="00C944AB"/>
    <w:rsid w:val="00C945DC"/>
    <w:rsid w:val="00C9469F"/>
    <w:rsid w:val="00C95B40"/>
    <w:rsid w:val="00C966F9"/>
    <w:rsid w:val="00C96B2C"/>
    <w:rsid w:val="00C97567"/>
    <w:rsid w:val="00C97A5F"/>
    <w:rsid w:val="00C97EA2"/>
    <w:rsid w:val="00CA0036"/>
    <w:rsid w:val="00CA0A65"/>
    <w:rsid w:val="00CA17EF"/>
    <w:rsid w:val="00CA1ED8"/>
    <w:rsid w:val="00CA2CE3"/>
    <w:rsid w:val="00CA30A2"/>
    <w:rsid w:val="00CA38D6"/>
    <w:rsid w:val="00CA39A2"/>
    <w:rsid w:val="00CA3A68"/>
    <w:rsid w:val="00CA3DFD"/>
    <w:rsid w:val="00CA4E1A"/>
    <w:rsid w:val="00CA59E2"/>
    <w:rsid w:val="00CA5D20"/>
    <w:rsid w:val="00CA6781"/>
    <w:rsid w:val="00CA7701"/>
    <w:rsid w:val="00CA780E"/>
    <w:rsid w:val="00CA7A97"/>
    <w:rsid w:val="00CB0F89"/>
    <w:rsid w:val="00CB1F63"/>
    <w:rsid w:val="00CB2067"/>
    <w:rsid w:val="00CB37DE"/>
    <w:rsid w:val="00CB4899"/>
    <w:rsid w:val="00CB4BF1"/>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301"/>
    <w:rsid w:val="00CD14A9"/>
    <w:rsid w:val="00CD15BB"/>
    <w:rsid w:val="00CD271C"/>
    <w:rsid w:val="00CD2ED1"/>
    <w:rsid w:val="00CD337B"/>
    <w:rsid w:val="00CD3A53"/>
    <w:rsid w:val="00CD40DC"/>
    <w:rsid w:val="00CD4C95"/>
    <w:rsid w:val="00CD4CD9"/>
    <w:rsid w:val="00CD63B2"/>
    <w:rsid w:val="00CD652C"/>
    <w:rsid w:val="00CD6B8F"/>
    <w:rsid w:val="00CD6CA5"/>
    <w:rsid w:val="00CD6FCC"/>
    <w:rsid w:val="00CD7B72"/>
    <w:rsid w:val="00CE0744"/>
    <w:rsid w:val="00CE0F52"/>
    <w:rsid w:val="00CE112C"/>
    <w:rsid w:val="00CE1237"/>
    <w:rsid w:val="00CE1A49"/>
    <w:rsid w:val="00CE1AB0"/>
    <w:rsid w:val="00CE277C"/>
    <w:rsid w:val="00CE292F"/>
    <w:rsid w:val="00CE2C47"/>
    <w:rsid w:val="00CE34DC"/>
    <w:rsid w:val="00CE4A12"/>
    <w:rsid w:val="00CE4B16"/>
    <w:rsid w:val="00CE59DC"/>
    <w:rsid w:val="00CE5B18"/>
    <w:rsid w:val="00CE5EBF"/>
    <w:rsid w:val="00CE63FF"/>
    <w:rsid w:val="00CE7561"/>
    <w:rsid w:val="00CE75E3"/>
    <w:rsid w:val="00CF07BD"/>
    <w:rsid w:val="00CF0924"/>
    <w:rsid w:val="00CF0C35"/>
    <w:rsid w:val="00CF11F6"/>
    <w:rsid w:val="00CF1354"/>
    <w:rsid w:val="00CF3750"/>
    <w:rsid w:val="00CF3B1F"/>
    <w:rsid w:val="00CF3BF6"/>
    <w:rsid w:val="00CF3C36"/>
    <w:rsid w:val="00CF49C1"/>
    <w:rsid w:val="00CF5117"/>
    <w:rsid w:val="00CF57A9"/>
    <w:rsid w:val="00CF5F8C"/>
    <w:rsid w:val="00CF625B"/>
    <w:rsid w:val="00CF6712"/>
    <w:rsid w:val="00CF687E"/>
    <w:rsid w:val="00CF743E"/>
    <w:rsid w:val="00D00330"/>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59"/>
    <w:rsid w:val="00D16579"/>
    <w:rsid w:val="00D16B9D"/>
    <w:rsid w:val="00D20A27"/>
    <w:rsid w:val="00D20C89"/>
    <w:rsid w:val="00D212E2"/>
    <w:rsid w:val="00D21443"/>
    <w:rsid w:val="00D235FD"/>
    <w:rsid w:val="00D239A7"/>
    <w:rsid w:val="00D23F47"/>
    <w:rsid w:val="00D248DC"/>
    <w:rsid w:val="00D24B5D"/>
    <w:rsid w:val="00D25297"/>
    <w:rsid w:val="00D2530F"/>
    <w:rsid w:val="00D25F93"/>
    <w:rsid w:val="00D26C60"/>
    <w:rsid w:val="00D26F4D"/>
    <w:rsid w:val="00D27938"/>
    <w:rsid w:val="00D27BE2"/>
    <w:rsid w:val="00D27DA6"/>
    <w:rsid w:val="00D27F20"/>
    <w:rsid w:val="00D3122B"/>
    <w:rsid w:val="00D32001"/>
    <w:rsid w:val="00D32390"/>
    <w:rsid w:val="00D324BC"/>
    <w:rsid w:val="00D32F1F"/>
    <w:rsid w:val="00D341A0"/>
    <w:rsid w:val="00D3467D"/>
    <w:rsid w:val="00D352F6"/>
    <w:rsid w:val="00D3666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F68"/>
    <w:rsid w:val="00D46667"/>
    <w:rsid w:val="00D47486"/>
    <w:rsid w:val="00D47DFC"/>
    <w:rsid w:val="00D47E49"/>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484"/>
    <w:rsid w:val="00D576CA"/>
    <w:rsid w:val="00D57FA3"/>
    <w:rsid w:val="00D61AF5"/>
    <w:rsid w:val="00D61E32"/>
    <w:rsid w:val="00D62095"/>
    <w:rsid w:val="00D63241"/>
    <w:rsid w:val="00D63D1A"/>
    <w:rsid w:val="00D64B69"/>
    <w:rsid w:val="00D652B5"/>
    <w:rsid w:val="00D657F4"/>
    <w:rsid w:val="00D65966"/>
    <w:rsid w:val="00D65C07"/>
    <w:rsid w:val="00D66499"/>
    <w:rsid w:val="00D6722F"/>
    <w:rsid w:val="00D678AD"/>
    <w:rsid w:val="00D67AB9"/>
    <w:rsid w:val="00D708B0"/>
    <w:rsid w:val="00D713FD"/>
    <w:rsid w:val="00D7149A"/>
    <w:rsid w:val="00D72120"/>
    <w:rsid w:val="00D721C5"/>
    <w:rsid w:val="00D722DE"/>
    <w:rsid w:val="00D72E8E"/>
    <w:rsid w:val="00D73397"/>
    <w:rsid w:val="00D733FA"/>
    <w:rsid w:val="00D73412"/>
    <w:rsid w:val="00D7389E"/>
    <w:rsid w:val="00D74C2F"/>
    <w:rsid w:val="00D753C0"/>
    <w:rsid w:val="00D75620"/>
    <w:rsid w:val="00D75632"/>
    <w:rsid w:val="00D75BA0"/>
    <w:rsid w:val="00D75ED2"/>
    <w:rsid w:val="00D77B1D"/>
    <w:rsid w:val="00D800BC"/>
    <w:rsid w:val="00D8021F"/>
    <w:rsid w:val="00D80383"/>
    <w:rsid w:val="00D80BDA"/>
    <w:rsid w:val="00D81017"/>
    <w:rsid w:val="00D821CA"/>
    <w:rsid w:val="00D823C6"/>
    <w:rsid w:val="00D83480"/>
    <w:rsid w:val="00D83497"/>
    <w:rsid w:val="00D84E2F"/>
    <w:rsid w:val="00D85D70"/>
    <w:rsid w:val="00D871CE"/>
    <w:rsid w:val="00D87270"/>
    <w:rsid w:val="00D90E90"/>
    <w:rsid w:val="00D91078"/>
    <w:rsid w:val="00D9127D"/>
    <w:rsid w:val="00D9196D"/>
    <w:rsid w:val="00D92036"/>
    <w:rsid w:val="00D92982"/>
    <w:rsid w:val="00D9383B"/>
    <w:rsid w:val="00D9537D"/>
    <w:rsid w:val="00D95A1E"/>
    <w:rsid w:val="00D9613D"/>
    <w:rsid w:val="00D9704D"/>
    <w:rsid w:val="00D977E9"/>
    <w:rsid w:val="00D97B8A"/>
    <w:rsid w:val="00DA14A5"/>
    <w:rsid w:val="00DA1E71"/>
    <w:rsid w:val="00DA2A4E"/>
    <w:rsid w:val="00DA2D31"/>
    <w:rsid w:val="00DA305E"/>
    <w:rsid w:val="00DA4E27"/>
    <w:rsid w:val="00DA5417"/>
    <w:rsid w:val="00DA56E8"/>
    <w:rsid w:val="00DA5B30"/>
    <w:rsid w:val="00DA6066"/>
    <w:rsid w:val="00DA64C6"/>
    <w:rsid w:val="00DA6990"/>
    <w:rsid w:val="00DA6BEA"/>
    <w:rsid w:val="00DA70FE"/>
    <w:rsid w:val="00DA716E"/>
    <w:rsid w:val="00DB0144"/>
    <w:rsid w:val="00DB0292"/>
    <w:rsid w:val="00DB19A3"/>
    <w:rsid w:val="00DB20D3"/>
    <w:rsid w:val="00DB27F9"/>
    <w:rsid w:val="00DB377D"/>
    <w:rsid w:val="00DB4F51"/>
    <w:rsid w:val="00DB50C5"/>
    <w:rsid w:val="00DB5446"/>
    <w:rsid w:val="00DB59AD"/>
    <w:rsid w:val="00DB6054"/>
    <w:rsid w:val="00DB6E10"/>
    <w:rsid w:val="00DB6FD5"/>
    <w:rsid w:val="00DB72E7"/>
    <w:rsid w:val="00DC075C"/>
    <w:rsid w:val="00DC0BB6"/>
    <w:rsid w:val="00DC112E"/>
    <w:rsid w:val="00DC2D36"/>
    <w:rsid w:val="00DC3D86"/>
    <w:rsid w:val="00DC4F13"/>
    <w:rsid w:val="00DC53EF"/>
    <w:rsid w:val="00DC57A6"/>
    <w:rsid w:val="00DC5C32"/>
    <w:rsid w:val="00DC5E99"/>
    <w:rsid w:val="00DC5FB3"/>
    <w:rsid w:val="00DC6129"/>
    <w:rsid w:val="00DC631A"/>
    <w:rsid w:val="00DC6DC7"/>
    <w:rsid w:val="00DC72BF"/>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685"/>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86A"/>
    <w:rsid w:val="00DF507A"/>
    <w:rsid w:val="00DF5CEF"/>
    <w:rsid w:val="00DF6C7A"/>
    <w:rsid w:val="00DF6FCF"/>
    <w:rsid w:val="00DF7DB1"/>
    <w:rsid w:val="00DF7F58"/>
    <w:rsid w:val="00E00E58"/>
    <w:rsid w:val="00E013F8"/>
    <w:rsid w:val="00E01521"/>
    <w:rsid w:val="00E0203C"/>
    <w:rsid w:val="00E022FC"/>
    <w:rsid w:val="00E02F50"/>
    <w:rsid w:val="00E04BB2"/>
    <w:rsid w:val="00E05500"/>
    <w:rsid w:val="00E060FC"/>
    <w:rsid w:val="00E07799"/>
    <w:rsid w:val="00E10E81"/>
    <w:rsid w:val="00E110E7"/>
    <w:rsid w:val="00E11B20"/>
    <w:rsid w:val="00E12535"/>
    <w:rsid w:val="00E12763"/>
    <w:rsid w:val="00E128BD"/>
    <w:rsid w:val="00E12923"/>
    <w:rsid w:val="00E12FCC"/>
    <w:rsid w:val="00E13310"/>
    <w:rsid w:val="00E13AB8"/>
    <w:rsid w:val="00E140BD"/>
    <w:rsid w:val="00E14882"/>
    <w:rsid w:val="00E14958"/>
    <w:rsid w:val="00E14C1C"/>
    <w:rsid w:val="00E150FF"/>
    <w:rsid w:val="00E151C0"/>
    <w:rsid w:val="00E15432"/>
    <w:rsid w:val="00E158A7"/>
    <w:rsid w:val="00E158E4"/>
    <w:rsid w:val="00E15961"/>
    <w:rsid w:val="00E16C70"/>
    <w:rsid w:val="00E171C7"/>
    <w:rsid w:val="00E176EB"/>
    <w:rsid w:val="00E17A3B"/>
    <w:rsid w:val="00E17CA0"/>
    <w:rsid w:val="00E17FA2"/>
    <w:rsid w:val="00E20025"/>
    <w:rsid w:val="00E2063D"/>
    <w:rsid w:val="00E2105A"/>
    <w:rsid w:val="00E21399"/>
    <w:rsid w:val="00E21520"/>
    <w:rsid w:val="00E2171D"/>
    <w:rsid w:val="00E219BE"/>
    <w:rsid w:val="00E21DD4"/>
    <w:rsid w:val="00E23A38"/>
    <w:rsid w:val="00E23CD9"/>
    <w:rsid w:val="00E240D8"/>
    <w:rsid w:val="00E246F8"/>
    <w:rsid w:val="00E2479C"/>
    <w:rsid w:val="00E24CA8"/>
    <w:rsid w:val="00E25DE2"/>
    <w:rsid w:val="00E266B7"/>
    <w:rsid w:val="00E27038"/>
    <w:rsid w:val="00E271A1"/>
    <w:rsid w:val="00E27285"/>
    <w:rsid w:val="00E27883"/>
    <w:rsid w:val="00E27AA3"/>
    <w:rsid w:val="00E303AE"/>
    <w:rsid w:val="00E30B5A"/>
    <w:rsid w:val="00E310B0"/>
    <w:rsid w:val="00E3123D"/>
    <w:rsid w:val="00E31461"/>
    <w:rsid w:val="00E31D43"/>
    <w:rsid w:val="00E31F8C"/>
    <w:rsid w:val="00E3224A"/>
    <w:rsid w:val="00E32328"/>
    <w:rsid w:val="00E32608"/>
    <w:rsid w:val="00E32B0C"/>
    <w:rsid w:val="00E32B8E"/>
    <w:rsid w:val="00E3370E"/>
    <w:rsid w:val="00E3484E"/>
    <w:rsid w:val="00E34B6E"/>
    <w:rsid w:val="00E3526B"/>
    <w:rsid w:val="00E35F8B"/>
    <w:rsid w:val="00E364CC"/>
    <w:rsid w:val="00E3723A"/>
    <w:rsid w:val="00E377FD"/>
    <w:rsid w:val="00E37860"/>
    <w:rsid w:val="00E40640"/>
    <w:rsid w:val="00E406DA"/>
    <w:rsid w:val="00E40A4E"/>
    <w:rsid w:val="00E410E5"/>
    <w:rsid w:val="00E416BE"/>
    <w:rsid w:val="00E417CB"/>
    <w:rsid w:val="00E419BA"/>
    <w:rsid w:val="00E41B61"/>
    <w:rsid w:val="00E421D0"/>
    <w:rsid w:val="00E422F7"/>
    <w:rsid w:val="00E4266E"/>
    <w:rsid w:val="00E427F9"/>
    <w:rsid w:val="00E43595"/>
    <w:rsid w:val="00E446F1"/>
    <w:rsid w:val="00E44802"/>
    <w:rsid w:val="00E4498D"/>
    <w:rsid w:val="00E4545A"/>
    <w:rsid w:val="00E46886"/>
    <w:rsid w:val="00E46E8F"/>
    <w:rsid w:val="00E473F2"/>
    <w:rsid w:val="00E47AEF"/>
    <w:rsid w:val="00E47EB4"/>
    <w:rsid w:val="00E50D86"/>
    <w:rsid w:val="00E512D9"/>
    <w:rsid w:val="00E517C3"/>
    <w:rsid w:val="00E51DF3"/>
    <w:rsid w:val="00E5219A"/>
    <w:rsid w:val="00E52EB2"/>
    <w:rsid w:val="00E53B75"/>
    <w:rsid w:val="00E5410D"/>
    <w:rsid w:val="00E54362"/>
    <w:rsid w:val="00E543D1"/>
    <w:rsid w:val="00E54E3B"/>
    <w:rsid w:val="00E55BAF"/>
    <w:rsid w:val="00E55C1E"/>
    <w:rsid w:val="00E55C28"/>
    <w:rsid w:val="00E5616D"/>
    <w:rsid w:val="00E56BEB"/>
    <w:rsid w:val="00E570AD"/>
    <w:rsid w:val="00E57565"/>
    <w:rsid w:val="00E579A7"/>
    <w:rsid w:val="00E6036C"/>
    <w:rsid w:val="00E61B94"/>
    <w:rsid w:val="00E622FB"/>
    <w:rsid w:val="00E62374"/>
    <w:rsid w:val="00E624C7"/>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80B"/>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A35"/>
    <w:rsid w:val="00E86365"/>
    <w:rsid w:val="00E870F5"/>
    <w:rsid w:val="00E8723F"/>
    <w:rsid w:val="00E87822"/>
    <w:rsid w:val="00E87A9B"/>
    <w:rsid w:val="00E87D7F"/>
    <w:rsid w:val="00E90395"/>
    <w:rsid w:val="00E90540"/>
    <w:rsid w:val="00E90719"/>
    <w:rsid w:val="00E90922"/>
    <w:rsid w:val="00E90D76"/>
    <w:rsid w:val="00E90E49"/>
    <w:rsid w:val="00E91392"/>
    <w:rsid w:val="00E917F9"/>
    <w:rsid w:val="00E918EB"/>
    <w:rsid w:val="00E91F03"/>
    <w:rsid w:val="00E92273"/>
    <w:rsid w:val="00E9291C"/>
    <w:rsid w:val="00E92D1C"/>
    <w:rsid w:val="00E938CE"/>
    <w:rsid w:val="00E93D7F"/>
    <w:rsid w:val="00E93FFE"/>
    <w:rsid w:val="00E94A9D"/>
    <w:rsid w:val="00E94F8A"/>
    <w:rsid w:val="00E963F8"/>
    <w:rsid w:val="00E96A1D"/>
    <w:rsid w:val="00E9708E"/>
    <w:rsid w:val="00E973CE"/>
    <w:rsid w:val="00E97D33"/>
    <w:rsid w:val="00EA0829"/>
    <w:rsid w:val="00EA0BDF"/>
    <w:rsid w:val="00EA162D"/>
    <w:rsid w:val="00EA1C83"/>
    <w:rsid w:val="00EA1F15"/>
    <w:rsid w:val="00EA2847"/>
    <w:rsid w:val="00EA2949"/>
    <w:rsid w:val="00EA29CF"/>
    <w:rsid w:val="00EA29F2"/>
    <w:rsid w:val="00EA2B3C"/>
    <w:rsid w:val="00EA2F26"/>
    <w:rsid w:val="00EA438B"/>
    <w:rsid w:val="00EA5283"/>
    <w:rsid w:val="00EA5461"/>
    <w:rsid w:val="00EA5613"/>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46F"/>
    <w:rsid w:val="00EB5B44"/>
    <w:rsid w:val="00EB6685"/>
    <w:rsid w:val="00EB7237"/>
    <w:rsid w:val="00EB73C3"/>
    <w:rsid w:val="00EB7B69"/>
    <w:rsid w:val="00EC09B7"/>
    <w:rsid w:val="00EC168A"/>
    <w:rsid w:val="00EC1D1E"/>
    <w:rsid w:val="00EC1DF7"/>
    <w:rsid w:val="00EC2247"/>
    <w:rsid w:val="00EC2605"/>
    <w:rsid w:val="00EC27C6"/>
    <w:rsid w:val="00EC35B0"/>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429"/>
    <w:rsid w:val="00ED2A60"/>
    <w:rsid w:val="00ED3808"/>
    <w:rsid w:val="00ED454D"/>
    <w:rsid w:val="00ED4AFA"/>
    <w:rsid w:val="00ED635F"/>
    <w:rsid w:val="00ED6BD6"/>
    <w:rsid w:val="00ED6E55"/>
    <w:rsid w:val="00ED7219"/>
    <w:rsid w:val="00ED78C9"/>
    <w:rsid w:val="00EE0D13"/>
    <w:rsid w:val="00EE1F98"/>
    <w:rsid w:val="00EE280C"/>
    <w:rsid w:val="00EE28F5"/>
    <w:rsid w:val="00EE35AB"/>
    <w:rsid w:val="00EE6B5A"/>
    <w:rsid w:val="00EE6D8E"/>
    <w:rsid w:val="00EE7CE1"/>
    <w:rsid w:val="00EF00FF"/>
    <w:rsid w:val="00EF18FE"/>
    <w:rsid w:val="00EF2981"/>
    <w:rsid w:val="00EF3591"/>
    <w:rsid w:val="00EF3AD5"/>
    <w:rsid w:val="00EF3D20"/>
    <w:rsid w:val="00EF53CD"/>
    <w:rsid w:val="00EF5787"/>
    <w:rsid w:val="00EF5E6B"/>
    <w:rsid w:val="00EF60D0"/>
    <w:rsid w:val="00EF62C8"/>
    <w:rsid w:val="00EF7C03"/>
    <w:rsid w:val="00F00459"/>
    <w:rsid w:val="00F00A11"/>
    <w:rsid w:val="00F00AD6"/>
    <w:rsid w:val="00F01A5F"/>
    <w:rsid w:val="00F01AA2"/>
    <w:rsid w:val="00F0404A"/>
    <w:rsid w:val="00F041D8"/>
    <w:rsid w:val="00F0454E"/>
    <w:rsid w:val="00F047BD"/>
    <w:rsid w:val="00F049BE"/>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3A9D"/>
    <w:rsid w:val="00F151AF"/>
    <w:rsid w:val="00F15491"/>
    <w:rsid w:val="00F15B4C"/>
    <w:rsid w:val="00F15FA5"/>
    <w:rsid w:val="00F163C6"/>
    <w:rsid w:val="00F1664B"/>
    <w:rsid w:val="00F168FA"/>
    <w:rsid w:val="00F16A6F"/>
    <w:rsid w:val="00F16F27"/>
    <w:rsid w:val="00F16F51"/>
    <w:rsid w:val="00F1733E"/>
    <w:rsid w:val="00F209B7"/>
    <w:rsid w:val="00F21135"/>
    <w:rsid w:val="00F21735"/>
    <w:rsid w:val="00F21C5E"/>
    <w:rsid w:val="00F22067"/>
    <w:rsid w:val="00F23D23"/>
    <w:rsid w:val="00F243D8"/>
    <w:rsid w:val="00F243E4"/>
    <w:rsid w:val="00F26E23"/>
    <w:rsid w:val="00F276AD"/>
    <w:rsid w:val="00F2790A"/>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6EC4"/>
    <w:rsid w:val="00F376AF"/>
    <w:rsid w:val="00F3773E"/>
    <w:rsid w:val="00F41114"/>
    <w:rsid w:val="00F411BE"/>
    <w:rsid w:val="00F413CC"/>
    <w:rsid w:val="00F43407"/>
    <w:rsid w:val="00F434C6"/>
    <w:rsid w:val="00F43D4A"/>
    <w:rsid w:val="00F43F65"/>
    <w:rsid w:val="00F457DA"/>
    <w:rsid w:val="00F468C8"/>
    <w:rsid w:val="00F469FA"/>
    <w:rsid w:val="00F4766C"/>
    <w:rsid w:val="00F477F2"/>
    <w:rsid w:val="00F47AAA"/>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4FED"/>
    <w:rsid w:val="00F559D8"/>
    <w:rsid w:val="00F55C20"/>
    <w:rsid w:val="00F55D60"/>
    <w:rsid w:val="00F570BF"/>
    <w:rsid w:val="00F57485"/>
    <w:rsid w:val="00F57752"/>
    <w:rsid w:val="00F60417"/>
    <w:rsid w:val="00F607C5"/>
    <w:rsid w:val="00F60DEA"/>
    <w:rsid w:val="00F61363"/>
    <w:rsid w:val="00F6302A"/>
    <w:rsid w:val="00F63838"/>
    <w:rsid w:val="00F643D1"/>
    <w:rsid w:val="00F64C2B"/>
    <w:rsid w:val="00F64DC0"/>
    <w:rsid w:val="00F651BE"/>
    <w:rsid w:val="00F652A2"/>
    <w:rsid w:val="00F654AB"/>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5FB6"/>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6B39"/>
    <w:rsid w:val="00F872AD"/>
    <w:rsid w:val="00F874F0"/>
    <w:rsid w:val="00F87A58"/>
    <w:rsid w:val="00F90344"/>
    <w:rsid w:val="00F9056A"/>
    <w:rsid w:val="00F90F8D"/>
    <w:rsid w:val="00F918FA"/>
    <w:rsid w:val="00F91ADD"/>
    <w:rsid w:val="00F91C3C"/>
    <w:rsid w:val="00F91DF0"/>
    <w:rsid w:val="00F92782"/>
    <w:rsid w:val="00F9378A"/>
    <w:rsid w:val="00F93AA9"/>
    <w:rsid w:val="00F94444"/>
    <w:rsid w:val="00F963B0"/>
    <w:rsid w:val="00F967DE"/>
    <w:rsid w:val="00F96985"/>
    <w:rsid w:val="00F96B5B"/>
    <w:rsid w:val="00F97838"/>
    <w:rsid w:val="00FA007C"/>
    <w:rsid w:val="00FA070D"/>
    <w:rsid w:val="00FA1A18"/>
    <w:rsid w:val="00FA20F7"/>
    <w:rsid w:val="00FA2205"/>
    <w:rsid w:val="00FA2283"/>
    <w:rsid w:val="00FA22F2"/>
    <w:rsid w:val="00FA22F8"/>
    <w:rsid w:val="00FA2A95"/>
    <w:rsid w:val="00FA2BB3"/>
    <w:rsid w:val="00FA31F0"/>
    <w:rsid w:val="00FA389F"/>
    <w:rsid w:val="00FA4908"/>
    <w:rsid w:val="00FA55BB"/>
    <w:rsid w:val="00FA6C4A"/>
    <w:rsid w:val="00FA6E5B"/>
    <w:rsid w:val="00FA7109"/>
    <w:rsid w:val="00FA7755"/>
    <w:rsid w:val="00FA7F00"/>
    <w:rsid w:val="00FB0E2A"/>
    <w:rsid w:val="00FB12E4"/>
    <w:rsid w:val="00FB1640"/>
    <w:rsid w:val="00FB1B2D"/>
    <w:rsid w:val="00FB1B76"/>
    <w:rsid w:val="00FB2011"/>
    <w:rsid w:val="00FB3324"/>
    <w:rsid w:val="00FB3344"/>
    <w:rsid w:val="00FB3775"/>
    <w:rsid w:val="00FB3CA6"/>
    <w:rsid w:val="00FB413D"/>
    <w:rsid w:val="00FB49BC"/>
    <w:rsid w:val="00FB4C80"/>
    <w:rsid w:val="00FB5944"/>
    <w:rsid w:val="00FB5AE1"/>
    <w:rsid w:val="00FB6087"/>
    <w:rsid w:val="00FB6BA8"/>
    <w:rsid w:val="00FB7389"/>
    <w:rsid w:val="00FC1796"/>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47E"/>
    <w:rsid w:val="00FD2E88"/>
    <w:rsid w:val="00FD323C"/>
    <w:rsid w:val="00FD3B87"/>
    <w:rsid w:val="00FD3CC5"/>
    <w:rsid w:val="00FD4578"/>
    <w:rsid w:val="00FD47ED"/>
    <w:rsid w:val="00FD4ED2"/>
    <w:rsid w:val="00FD6ABE"/>
    <w:rsid w:val="00FD710F"/>
    <w:rsid w:val="00FD74DB"/>
    <w:rsid w:val="00FD75E6"/>
    <w:rsid w:val="00FD7660"/>
    <w:rsid w:val="00FD7894"/>
    <w:rsid w:val="00FD7BE1"/>
    <w:rsid w:val="00FE0490"/>
    <w:rsid w:val="00FE0655"/>
    <w:rsid w:val="00FE080D"/>
    <w:rsid w:val="00FE1341"/>
    <w:rsid w:val="00FE1519"/>
    <w:rsid w:val="00FE1F53"/>
    <w:rsid w:val="00FE220A"/>
    <w:rsid w:val="00FE2365"/>
    <w:rsid w:val="00FE3122"/>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9C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6BEA"/>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2444B"/>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72444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2444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72444B"/>
    <w:pPr>
      <w:numPr>
        <w:ilvl w:val="3"/>
      </w:numPr>
      <w:outlineLvl w:val="3"/>
    </w:pPr>
    <w:rPr>
      <w:sz w:val="24"/>
      <w:szCs w:val="24"/>
    </w:rPr>
  </w:style>
  <w:style w:type="paragraph" w:styleId="Heading5">
    <w:name w:val="heading 5"/>
    <w:basedOn w:val="Heading4"/>
    <w:next w:val="Normal"/>
    <w:link w:val="Heading5Char"/>
    <w:qFormat/>
    <w:rsid w:val="0072444B"/>
    <w:pPr>
      <w:numPr>
        <w:ilvl w:val="4"/>
      </w:numPr>
      <w:outlineLvl w:val="4"/>
    </w:pPr>
    <w:rPr>
      <w:sz w:val="22"/>
      <w:szCs w:val="22"/>
    </w:rPr>
  </w:style>
  <w:style w:type="paragraph" w:styleId="Heading6">
    <w:name w:val="heading 6"/>
    <w:basedOn w:val="Normal"/>
    <w:next w:val="Normal"/>
    <w:link w:val="Heading6Char"/>
    <w:qFormat/>
    <w:rsid w:val="0072444B"/>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72444B"/>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72444B"/>
    <w:pPr>
      <w:numPr>
        <w:ilvl w:val="7"/>
      </w:numPr>
      <w:outlineLvl w:val="7"/>
    </w:pPr>
  </w:style>
  <w:style w:type="paragraph" w:styleId="Heading9">
    <w:name w:val="heading 9"/>
    <w:basedOn w:val="Heading8"/>
    <w:next w:val="Normal"/>
    <w:link w:val="Heading9Char"/>
    <w:qFormat/>
    <w:rsid w:val="0072444B"/>
    <w:pPr>
      <w:numPr>
        <w:ilvl w:val="8"/>
      </w:numPr>
      <w:outlineLvl w:val="8"/>
    </w:pPr>
  </w:style>
  <w:style w:type="character" w:default="1" w:styleId="DefaultParagraphFont">
    <w:name w:val="Default Paragraph Font"/>
    <w:uiPriority w:val="1"/>
    <w:semiHidden/>
    <w:unhideWhenUsed/>
    <w:rsid w:val="00DA6B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6BE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72444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2444B"/>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72444B"/>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72444B"/>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72444B"/>
    <w:rPr>
      <w:rFonts w:ascii="Arial" w:eastAsiaTheme="minorHAnsi" w:hAnsi="Arial"/>
      <w:sz w:val="32"/>
      <w:szCs w:val="32"/>
      <w:lang w:val="en-GB" w:eastAsia="zh-CN"/>
    </w:rPr>
  </w:style>
  <w:style w:type="paragraph" w:styleId="ListParagraph">
    <w:name w:val="List Paragraph"/>
    <w:aliases w:val="- Bullets,목록 단락,リスト段落,列出段落,Lista1,?? ??,?????,????,列出段落1"/>
    <w:basedOn w:val="Normal"/>
    <w:link w:val="ListParagraphChar"/>
    <w:uiPriority w:val="34"/>
    <w:qFormat/>
    <w:rsid w:val="0072444B"/>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72444B"/>
    <w:pPr>
      <w:spacing w:before="40"/>
    </w:pPr>
    <w:rPr>
      <w:rFonts w:ascii="Arial" w:eastAsia="MS Mincho" w:hAnsi="Arial"/>
      <w:i/>
      <w:sz w:val="18"/>
      <w:lang w:eastAsia="en-GB"/>
    </w:rPr>
  </w:style>
  <w:style w:type="character" w:customStyle="1" w:styleId="CommentsChar">
    <w:name w:val="Comments Char"/>
    <w:link w:val="Comments"/>
    <w:rsid w:val="0072444B"/>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72444B"/>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72444B"/>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72444B"/>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72444B"/>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72444B"/>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2444B"/>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rsid w:val="00C50BA6"/>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752940"/>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2444B"/>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444B"/>
    <w:rPr>
      <w:rFonts w:ascii="Arial" w:eastAsiaTheme="minorHAnsi" w:hAnsi="Arial"/>
      <w:sz w:val="24"/>
      <w:szCs w:val="24"/>
      <w:lang w:val="en-GB" w:eastAsia="zh-CN"/>
    </w:rPr>
  </w:style>
  <w:style w:type="character" w:customStyle="1" w:styleId="Heading5Char">
    <w:name w:val="Heading 5 Char"/>
    <w:basedOn w:val="DefaultParagraphFont"/>
    <w:link w:val="Heading5"/>
    <w:rsid w:val="0072444B"/>
    <w:rPr>
      <w:rFonts w:ascii="Arial" w:eastAsiaTheme="minorHAnsi" w:hAnsi="Arial"/>
      <w:sz w:val="22"/>
      <w:szCs w:val="22"/>
      <w:lang w:val="en-GB" w:eastAsia="zh-CN"/>
    </w:rPr>
  </w:style>
  <w:style w:type="character" w:customStyle="1" w:styleId="Heading6Char">
    <w:name w:val="Heading 6 Char"/>
    <w:basedOn w:val="DefaultParagraphFont"/>
    <w:link w:val="Heading6"/>
    <w:rsid w:val="0072444B"/>
    <w:rPr>
      <w:rFonts w:ascii="Arial" w:eastAsiaTheme="minorHAnsi" w:hAnsi="Arial" w:cs="Arial"/>
      <w:sz w:val="22"/>
      <w:szCs w:val="22"/>
      <w:lang w:val="en-US"/>
    </w:rPr>
  </w:style>
  <w:style w:type="character" w:customStyle="1" w:styleId="Heading7Char">
    <w:name w:val="Heading 7 Char"/>
    <w:basedOn w:val="DefaultParagraphFont"/>
    <w:link w:val="Heading7"/>
    <w:rsid w:val="0072444B"/>
    <w:rPr>
      <w:rFonts w:ascii="Arial" w:eastAsiaTheme="minorHAnsi" w:hAnsi="Arial" w:cs="Arial"/>
      <w:sz w:val="22"/>
      <w:szCs w:val="22"/>
      <w:lang w:val="en-US"/>
    </w:rPr>
  </w:style>
  <w:style w:type="character" w:customStyle="1" w:styleId="Heading8Char">
    <w:name w:val="Heading 8 Char"/>
    <w:basedOn w:val="DefaultParagraphFont"/>
    <w:link w:val="Heading8"/>
    <w:rsid w:val="0072444B"/>
    <w:rPr>
      <w:rFonts w:ascii="Arial" w:eastAsiaTheme="minorHAnsi" w:hAnsi="Arial" w:cs="Arial"/>
      <w:sz w:val="22"/>
      <w:szCs w:val="22"/>
      <w:lang w:val="en-US"/>
    </w:rPr>
  </w:style>
  <w:style w:type="character" w:customStyle="1" w:styleId="Heading9Char">
    <w:name w:val="Heading 9 Char"/>
    <w:basedOn w:val="DefaultParagraphFont"/>
    <w:link w:val="Heading9"/>
    <w:rsid w:val="0072444B"/>
    <w:rPr>
      <w:rFonts w:ascii="Arial" w:eastAsiaTheme="minorHAnsi" w:hAnsi="Arial" w:cs="Arial"/>
      <w:sz w:val="22"/>
      <w:szCs w:val="22"/>
      <w:lang w:val="en-US"/>
    </w:rPr>
  </w:style>
  <w:style w:type="character" w:customStyle="1" w:styleId="B1Char">
    <w:name w:val="B1 Char"/>
    <w:rsid w:val="001C2EE8"/>
    <w:rPr>
      <w:lang w:val="en-GB"/>
    </w:rPr>
  </w:style>
  <w:style w:type="paragraph" w:styleId="ListNumber4">
    <w:name w:val="List Number 4"/>
    <w:basedOn w:val="Normal"/>
    <w:rsid w:val="001C2EE8"/>
    <w:pPr>
      <w:numPr>
        <w:numId w:val="10"/>
      </w:numPr>
      <w:tabs>
        <w:tab w:val="left" w:pos="720"/>
        <w:tab w:val="left" w:pos="1209"/>
      </w:tabs>
      <w:overflowPunct w:val="0"/>
      <w:autoSpaceDE w:val="0"/>
      <w:autoSpaceDN w:val="0"/>
      <w:adjustRightInd w:val="0"/>
      <w:spacing w:after="180"/>
      <w:ind w:left="1209"/>
      <w:textAlignment w:val="baseline"/>
    </w:pPr>
    <w:rPr>
      <w:rFonts w:ascii="Times New Roman" w:eastAsia="MS Mincho" w:hAnsi="Times New Roman"/>
      <w:sz w:val="20"/>
      <w:lang w:val="en-GB" w:eastAsia="en-GB"/>
    </w:rPr>
  </w:style>
  <w:style w:type="paragraph" w:customStyle="1" w:styleId="Observation">
    <w:name w:val="Observation"/>
    <w:basedOn w:val="Proposal"/>
    <w:qFormat/>
    <w:rsid w:val="00E00E58"/>
    <w:pPr>
      <w:numPr>
        <w:numId w:val="13"/>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eastAsia="zh-CN"/>
    </w:rPr>
  </w:style>
  <w:style w:type="character" w:customStyle="1" w:styleId="ReferenceChar">
    <w:name w:val="Reference Char"/>
    <w:link w:val="Reference"/>
    <w:locked/>
    <w:rsid w:val="00D2530F"/>
    <w:rPr>
      <w:rFonts w:asciiTheme="minorHAnsi" w:eastAsia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034">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0928904">
      <w:bodyDiv w:val="1"/>
      <w:marLeft w:val="0"/>
      <w:marRight w:val="0"/>
      <w:marTop w:val="0"/>
      <w:marBottom w:val="0"/>
      <w:divBdr>
        <w:top w:val="none" w:sz="0" w:space="0" w:color="auto"/>
        <w:left w:val="none" w:sz="0" w:space="0" w:color="auto"/>
        <w:bottom w:val="none" w:sz="0" w:space="0" w:color="auto"/>
        <w:right w:val="none" w:sz="0" w:space="0" w:color="auto"/>
      </w:divBdr>
    </w:div>
    <w:div w:id="9937587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72253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910608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45163228">
      <w:bodyDiv w:val="1"/>
      <w:marLeft w:val="0"/>
      <w:marRight w:val="0"/>
      <w:marTop w:val="0"/>
      <w:marBottom w:val="0"/>
      <w:divBdr>
        <w:top w:val="none" w:sz="0" w:space="0" w:color="auto"/>
        <w:left w:val="none" w:sz="0" w:space="0" w:color="auto"/>
        <w:bottom w:val="none" w:sz="0" w:space="0" w:color="auto"/>
        <w:right w:val="none" w:sz="0" w:space="0" w:color="auto"/>
      </w:divBdr>
    </w:div>
    <w:div w:id="651643600">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38408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49623293">
      <w:bodyDiv w:val="1"/>
      <w:marLeft w:val="0"/>
      <w:marRight w:val="0"/>
      <w:marTop w:val="0"/>
      <w:marBottom w:val="0"/>
      <w:divBdr>
        <w:top w:val="none" w:sz="0" w:space="0" w:color="auto"/>
        <w:left w:val="none" w:sz="0" w:space="0" w:color="auto"/>
        <w:bottom w:val="none" w:sz="0" w:space="0" w:color="auto"/>
        <w:right w:val="none" w:sz="0" w:space="0" w:color="auto"/>
      </w:divBdr>
    </w:div>
    <w:div w:id="76835696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30244367">
      <w:bodyDiv w:val="1"/>
      <w:marLeft w:val="0"/>
      <w:marRight w:val="0"/>
      <w:marTop w:val="0"/>
      <w:marBottom w:val="0"/>
      <w:divBdr>
        <w:top w:val="none" w:sz="0" w:space="0" w:color="auto"/>
        <w:left w:val="none" w:sz="0" w:space="0" w:color="auto"/>
        <w:bottom w:val="none" w:sz="0" w:space="0" w:color="auto"/>
        <w:right w:val="none" w:sz="0" w:space="0" w:color="auto"/>
      </w:divBdr>
    </w:div>
    <w:div w:id="1158226790">
      <w:bodyDiv w:val="1"/>
      <w:marLeft w:val="0"/>
      <w:marRight w:val="0"/>
      <w:marTop w:val="0"/>
      <w:marBottom w:val="0"/>
      <w:divBdr>
        <w:top w:val="none" w:sz="0" w:space="0" w:color="auto"/>
        <w:left w:val="none" w:sz="0" w:space="0" w:color="auto"/>
        <w:bottom w:val="none" w:sz="0" w:space="0" w:color="auto"/>
        <w:right w:val="none" w:sz="0" w:space="0" w:color="auto"/>
      </w:divBdr>
    </w:div>
    <w:div w:id="1197740614">
      <w:bodyDiv w:val="1"/>
      <w:marLeft w:val="0"/>
      <w:marRight w:val="0"/>
      <w:marTop w:val="0"/>
      <w:marBottom w:val="0"/>
      <w:divBdr>
        <w:top w:val="none" w:sz="0" w:space="0" w:color="auto"/>
        <w:left w:val="none" w:sz="0" w:space="0" w:color="auto"/>
        <w:bottom w:val="none" w:sz="0" w:space="0" w:color="auto"/>
        <w:right w:val="none" w:sz="0" w:space="0" w:color="auto"/>
      </w:divBdr>
    </w:div>
    <w:div w:id="1277297476">
      <w:bodyDiv w:val="1"/>
      <w:marLeft w:val="0"/>
      <w:marRight w:val="0"/>
      <w:marTop w:val="0"/>
      <w:marBottom w:val="0"/>
      <w:divBdr>
        <w:top w:val="none" w:sz="0" w:space="0" w:color="auto"/>
        <w:left w:val="none" w:sz="0" w:space="0" w:color="auto"/>
        <w:bottom w:val="none" w:sz="0" w:space="0" w:color="auto"/>
        <w:right w:val="none" w:sz="0" w:space="0" w:color="auto"/>
      </w:divBdr>
    </w:div>
    <w:div w:id="129428694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457222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645830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04070096">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2375006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228188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15314000">
      <w:bodyDiv w:val="1"/>
      <w:marLeft w:val="0"/>
      <w:marRight w:val="0"/>
      <w:marTop w:val="0"/>
      <w:marBottom w:val="0"/>
      <w:divBdr>
        <w:top w:val="none" w:sz="0" w:space="0" w:color="auto"/>
        <w:left w:val="none" w:sz="0" w:space="0" w:color="auto"/>
        <w:bottom w:val="none" w:sz="0" w:space="0" w:color="auto"/>
        <w:right w:val="none" w:sz="0" w:space="0" w:color="auto"/>
      </w:divBdr>
    </w:div>
    <w:div w:id="193744560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469789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41914674">
      <w:bodyDiv w:val="1"/>
      <w:marLeft w:val="0"/>
      <w:marRight w:val="0"/>
      <w:marTop w:val="0"/>
      <w:marBottom w:val="0"/>
      <w:divBdr>
        <w:top w:val="none" w:sz="0" w:space="0" w:color="auto"/>
        <w:left w:val="none" w:sz="0" w:space="0" w:color="auto"/>
        <w:bottom w:val="none" w:sz="0" w:space="0" w:color="auto"/>
        <w:right w:val="none" w:sz="0" w:space="0" w:color="auto"/>
      </w:divBdr>
    </w:div>
    <w:div w:id="2144346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F4CCA-3FAB-4D16-8674-8169327E67E4}">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31F2BAD-95EF-4EF1-A96A-C2AEA1365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A837D-1B58-44CB-A4E1-5411656EA46A}">
  <ds:schemaRefs>
    <ds:schemaRef ds:uri="http://schemas.microsoft.com/sharepoint/v3/contenttype/forms"/>
  </ds:schemaRefs>
</ds:datastoreItem>
</file>

<file path=customXml/itemProps4.xml><?xml version="1.0" encoding="utf-8"?>
<ds:datastoreItem xmlns:ds="http://schemas.openxmlformats.org/officeDocument/2006/customXml" ds:itemID="{A3954E53-4C8B-47D0-80A2-21B0D791A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1761</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2019-11-07T21:47:00Z</dcterms:created>
  <dcterms:modified xsi:type="dcterms:W3CDTF">2019-11-08T21:38:00Z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